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2D" w:rsidRPr="008C601A" w:rsidRDefault="0098671A" w:rsidP="0098671A">
      <w:pPr>
        <w:jc w:val="center"/>
        <w:rPr>
          <w:rFonts w:ascii="Open Sans" w:hAnsi="Open Sans" w:cs="Open Sans"/>
          <w:b/>
          <w:bCs/>
          <w:color w:val="000000"/>
          <w:sz w:val="32"/>
          <w:szCs w:val="32"/>
        </w:rPr>
      </w:pPr>
      <w:r w:rsidRPr="008C601A">
        <w:rPr>
          <w:rFonts w:ascii="Open Sans" w:hAnsi="Open Sans" w:cs="Open Sans"/>
          <w:b/>
          <w:bCs/>
          <w:color w:val="000000"/>
          <w:sz w:val="32"/>
          <w:szCs w:val="32"/>
        </w:rPr>
        <w:t>Egalité professionnelle entre les femmes et les hommes</w:t>
      </w:r>
    </w:p>
    <w:p w:rsidR="0098671A" w:rsidRPr="008C601A" w:rsidRDefault="0098671A" w:rsidP="0098671A">
      <w:pPr>
        <w:jc w:val="center"/>
        <w:rPr>
          <w:rFonts w:ascii="Open Sans" w:hAnsi="Open Sans" w:cs="Open Sans"/>
          <w:b/>
          <w:bCs/>
          <w:color w:val="000000"/>
          <w:sz w:val="28"/>
          <w:szCs w:val="28"/>
        </w:rPr>
      </w:pPr>
      <w:r w:rsidRPr="008C601A">
        <w:rPr>
          <w:rFonts w:ascii="Open Sans" w:hAnsi="Open Sans" w:cs="Open Sans"/>
          <w:b/>
          <w:bCs/>
          <w:color w:val="000000"/>
          <w:sz w:val="28"/>
          <w:szCs w:val="28"/>
        </w:rPr>
        <w:t xml:space="preserve">Un </w:t>
      </w:r>
      <w:r w:rsidR="00CB5D60" w:rsidRPr="008C601A">
        <w:rPr>
          <w:rFonts w:ascii="Open Sans" w:hAnsi="Open Sans" w:cs="Open Sans"/>
          <w:b/>
          <w:bCs/>
          <w:color w:val="000000"/>
          <w:sz w:val="28"/>
          <w:szCs w:val="28"/>
        </w:rPr>
        <w:t>accord à la hauteur de</w:t>
      </w:r>
      <w:r w:rsidRPr="008C601A">
        <w:rPr>
          <w:rFonts w:ascii="Open Sans" w:hAnsi="Open Sans" w:cs="Open Sans"/>
          <w:b/>
          <w:bCs/>
          <w:color w:val="000000"/>
          <w:sz w:val="28"/>
          <w:szCs w:val="28"/>
        </w:rPr>
        <w:t xml:space="preserve"> </w:t>
      </w:r>
      <w:r w:rsidR="00CB5D60" w:rsidRPr="008C601A">
        <w:rPr>
          <w:rFonts w:ascii="Open Sans" w:hAnsi="Open Sans" w:cs="Open Sans"/>
          <w:b/>
          <w:bCs/>
          <w:color w:val="000000"/>
          <w:sz w:val="28"/>
          <w:szCs w:val="28"/>
        </w:rPr>
        <w:t>l’</w:t>
      </w:r>
      <w:r w:rsidRPr="008C601A">
        <w:rPr>
          <w:rFonts w:ascii="Open Sans" w:hAnsi="Open Sans" w:cs="Open Sans"/>
          <w:b/>
          <w:bCs/>
          <w:color w:val="000000"/>
          <w:sz w:val="28"/>
          <w:szCs w:val="28"/>
        </w:rPr>
        <w:t>enjeu pour les salariés et les employeurs de la branche</w:t>
      </w:r>
    </w:p>
    <w:p w:rsidR="00FD7282" w:rsidRPr="008C601A" w:rsidRDefault="00FD7282" w:rsidP="003C51FD">
      <w:pPr>
        <w:rPr>
          <w:rFonts w:ascii="Open Sans" w:hAnsi="Open Sans" w:cs="Open Sans"/>
          <w:b/>
          <w:bCs/>
          <w:color w:val="000000"/>
        </w:rPr>
      </w:pPr>
    </w:p>
    <w:p w:rsidR="003A4E63" w:rsidRPr="008C601A" w:rsidRDefault="003A4E63" w:rsidP="00FD7282">
      <w:pPr>
        <w:jc w:val="both"/>
        <w:rPr>
          <w:rFonts w:ascii="Open Sans" w:hAnsi="Open Sans" w:cs="Open Sans"/>
          <w:b/>
          <w:sz w:val="20"/>
          <w:szCs w:val="20"/>
        </w:rPr>
      </w:pPr>
      <w:r w:rsidRPr="008C601A">
        <w:rPr>
          <w:rFonts w:ascii="Open Sans" w:hAnsi="Open Sans" w:cs="Open Sans"/>
          <w:b/>
          <w:sz w:val="20"/>
          <w:szCs w:val="20"/>
        </w:rPr>
        <w:t>Plus qu’une obligation légale, un défi éthique et sociétal</w:t>
      </w:r>
    </w:p>
    <w:p w:rsidR="00FD7282" w:rsidRPr="008C601A" w:rsidRDefault="00FD7282" w:rsidP="00FD7282">
      <w:pPr>
        <w:jc w:val="both"/>
        <w:rPr>
          <w:rFonts w:ascii="Open Sans" w:hAnsi="Open Sans" w:cs="Open Sans"/>
          <w:sz w:val="20"/>
          <w:szCs w:val="20"/>
        </w:rPr>
      </w:pPr>
      <w:r w:rsidRPr="008C601A">
        <w:rPr>
          <w:rFonts w:ascii="Open Sans" w:hAnsi="Open Sans" w:cs="Open Sans"/>
          <w:sz w:val="20"/>
          <w:szCs w:val="20"/>
        </w:rPr>
        <w:t>En application du Code du travail, au sein de chaque branche d’activité, les partenaires sociaux sont tenus de négocier un accord relatif à l’égalité professionnelle entre les femmes et les hommes.</w:t>
      </w:r>
    </w:p>
    <w:p w:rsidR="003A4E63" w:rsidRPr="008C601A" w:rsidRDefault="003A4E63" w:rsidP="003A4E63">
      <w:pPr>
        <w:jc w:val="both"/>
        <w:rPr>
          <w:rFonts w:ascii="Open Sans" w:hAnsi="Open Sans" w:cs="Open Sans"/>
          <w:sz w:val="20"/>
          <w:szCs w:val="20"/>
        </w:rPr>
      </w:pPr>
      <w:r w:rsidRPr="008C601A">
        <w:rPr>
          <w:rFonts w:ascii="Open Sans" w:hAnsi="Open Sans" w:cs="Open Sans"/>
          <w:sz w:val="20"/>
          <w:szCs w:val="20"/>
        </w:rPr>
        <w:t xml:space="preserve">Plus de quatre années </w:t>
      </w:r>
      <w:r w:rsidR="003315E4" w:rsidRPr="008C601A">
        <w:rPr>
          <w:rFonts w:ascii="Open Sans" w:hAnsi="Open Sans" w:cs="Open Sans"/>
          <w:sz w:val="20"/>
          <w:szCs w:val="20"/>
        </w:rPr>
        <w:t>d’analyse</w:t>
      </w:r>
      <w:r w:rsidR="00CB5D60" w:rsidRPr="008C601A">
        <w:rPr>
          <w:rFonts w:ascii="Open Sans" w:hAnsi="Open Sans" w:cs="Open Sans"/>
          <w:sz w:val="20"/>
          <w:szCs w:val="20"/>
        </w:rPr>
        <w:t xml:space="preserve"> de la situation comparée</w:t>
      </w:r>
      <w:r w:rsidR="003315E4" w:rsidRPr="008C601A">
        <w:rPr>
          <w:rFonts w:ascii="Open Sans" w:hAnsi="Open Sans" w:cs="Open Sans"/>
          <w:sz w:val="20"/>
          <w:szCs w:val="20"/>
        </w:rPr>
        <w:t xml:space="preserve">, </w:t>
      </w:r>
      <w:r w:rsidRPr="008C601A">
        <w:rPr>
          <w:rFonts w:ascii="Open Sans" w:hAnsi="Open Sans" w:cs="Open Sans"/>
          <w:sz w:val="20"/>
          <w:szCs w:val="20"/>
        </w:rPr>
        <w:t xml:space="preserve">d’élaboration du projet et de négociation des termes de l’accord ont été nécessaires dans le cadre de la Commission Paritaire Nationale de la Négociation Collective (CPNNC). La grande majorité des organisations a souhaité que cet accord de branche, signé le 27 mars 2014, soit porteur de changements et de résultats concrets, et </w:t>
      </w:r>
      <w:r w:rsidR="00CB5D60" w:rsidRPr="008C601A">
        <w:rPr>
          <w:rFonts w:ascii="Open Sans" w:hAnsi="Open Sans" w:cs="Open Sans"/>
          <w:sz w:val="20"/>
          <w:szCs w:val="20"/>
        </w:rPr>
        <w:t xml:space="preserve">qu’il </w:t>
      </w:r>
      <w:r w:rsidRPr="008C601A">
        <w:rPr>
          <w:rFonts w:ascii="Open Sans" w:hAnsi="Open Sans" w:cs="Open Sans"/>
          <w:sz w:val="20"/>
          <w:szCs w:val="20"/>
        </w:rPr>
        <w:t>dépasse le simple rappel de principes communément admis.</w:t>
      </w:r>
    </w:p>
    <w:p w:rsidR="00FD7282" w:rsidRPr="008C601A" w:rsidRDefault="00FD7282" w:rsidP="00FD7282">
      <w:pPr>
        <w:jc w:val="both"/>
        <w:rPr>
          <w:rFonts w:ascii="Open Sans" w:hAnsi="Open Sans" w:cs="Open Sans"/>
          <w:sz w:val="20"/>
          <w:szCs w:val="20"/>
        </w:rPr>
      </w:pPr>
    </w:p>
    <w:p w:rsidR="00FD7282" w:rsidRPr="008C601A" w:rsidRDefault="00CB0F97" w:rsidP="00FD7282">
      <w:pPr>
        <w:jc w:val="both"/>
        <w:rPr>
          <w:rFonts w:ascii="Open Sans" w:hAnsi="Open Sans" w:cs="Open Sans"/>
          <w:b/>
          <w:sz w:val="20"/>
          <w:szCs w:val="20"/>
        </w:rPr>
      </w:pPr>
      <w:r w:rsidRPr="008C601A">
        <w:rPr>
          <w:rFonts w:ascii="Open Sans" w:hAnsi="Open Sans" w:cs="Open Sans"/>
          <w:b/>
          <w:sz w:val="20"/>
          <w:szCs w:val="20"/>
        </w:rPr>
        <w:t>Les éléments d’un constat partagé</w:t>
      </w:r>
    </w:p>
    <w:p w:rsidR="00CB0F97" w:rsidRPr="008C601A" w:rsidRDefault="00146D33" w:rsidP="00FD7282">
      <w:pPr>
        <w:jc w:val="both"/>
        <w:rPr>
          <w:rFonts w:ascii="Open Sans" w:hAnsi="Open Sans" w:cs="Open Sans"/>
          <w:sz w:val="20"/>
          <w:szCs w:val="20"/>
        </w:rPr>
      </w:pPr>
      <w:r w:rsidRPr="008C601A">
        <w:rPr>
          <w:rFonts w:ascii="Open Sans" w:hAnsi="Open Sans" w:cs="Open Sans"/>
          <w:sz w:val="20"/>
          <w:szCs w:val="20"/>
        </w:rPr>
        <w:t xml:space="preserve">Cette négociation ne pouvait </w:t>
      </w:r>
      <w:r w:rsidR="00701248" w:rsidRPr="008C601A">
        <w:rPr>
          <w:rFonts w:ascii="Open Sans" w:hAnsi="Open Sans" w:cs="Open Sans"/>
          <w:sz w:val="20"/>
          <w:szCs w:val="20"/>
        </w:rPr>
        <w:t>aboutir</w:t>
      </w:r>
      <w:r w:rsidRPr="008C601A">
        <w:rPr>
          <w:rFonts w:ascii="Open Sans" w:hAnsi="Open Sans" w:cs="Open Sans"/>
          <w:sz w:val="20"/>
          <w:szCs w:val="20"/>
        </w:rPr>
        <w:t xml:space="preserve"> qu’à la condition de </w:t>
      </w:r>
      <w:r w:rsidR="00C3111A" w:rsidRPr="008C601A">
        <w:rPr>
          <w:rFonts w:ascii="Open Sans" w:hAnsi="Open Sans" w:cs="Open Sans"/>
          <w:sz w:val="20"/>
          <w:szCs w:val="20"/>
        </w:rPr>
        <w:t>dépasser les lieux communs</w:t>
      </w:r>
      <w:r w:rsidR="007E5021" w:rsidRPr="008C601A">
        <w:rPr>
          <w:rFonts w:ascii="Open Sans" w:hAnsi="Open Sans" w:cs="Open Sans"/>
          <w:sz w:val="20"/>
          <w:szCs w:val="20"/>
        </w:rPr>
        <w:t>,</w:t>
      </w:r>
      <w:r w:rsidR="00C3111A" w:rsidRPr="008C601A">
        <w:rPr>
          <w:rFonts w:ascii="Open Sans" w:hAnsi="Open Sans" w:cs="Open Sans"/>
          <w:sz w:val="20"/>
          <w:szCs w:val="20"/>
        </w:rPr>
        <w:t xml:space="preserve"> et </w:t>
      </w:r>
      <w:r w:rsidR="007E5021" w:rsidRPr="008C601A">
        <w:rPr>
          <w:rFonts w:ascii="Open Sans" w:hAnsi="Open Sans" w:cs="Open Sans"/>
          <w:sz w:val="20"/>
          <w:szCs w:val="20"/>
        </w:rPr>
        <w:t>de s’affranchir d’</w:t>
      </w:r>
      <w:r w:rsidR="00C3111A" w:rsidRPr="008C601A">
        <w:rPr>
          <w:rFonts w:ascii="Open Sans" w:hAnsi="Open Sans" w:cs="Open Sans"/>
          <w:sz w:val="20"/>
          <w:szCs w:val="20"/>
        </w:rPr>
        <w:t>un</w:t>
      </w:r>
      <w:r w:rsidR="00C87F0A" w:rsidRPr="008C601A">
        <w:rPr>
          <w:rFonts w:ascii="Open Sans" w:hAnsi="Open Sans" w:cs="Open Sans"/>
          <w:sz w:val="20"/>
          <w:szCs w:val="20"/>
        </w:rPr>
        <w:t xml:space="preserve"> </w:t>
      </w:r>
      <w:r w:rsidRPr="008C601A">
        <w:rPr>
          <w:rFonts w:ascii="Open Sans" w:hAnsi="Open Sans" w:cs="Open Sans"/>
          <w:sz w:val="20"/>
          <w:szCs w:val="20"/>
        </w:rPr>
        <w:t>fatalisme a</w:t>
      </w:r>
      <w:r w:rsidR="003315E4" w:rsidRPr="008C601A">
        <w:rPr>
          <w:rFonts w:ascii="Open Sans" w:hAnsi="Open Sans" w:cs="Open Sans"/>
          <w:sz w:val="20"/>
          <w:szCs w:val="20"/>
        </w:rPr>
        <w:t>ffligé</w:t>
      </w:r>
      <w:r w:rsidRPr="008C601A">
        <w:rPr>
          <w:rFonts w:ascii="Open Sans" w:hAnsi="Open Sans" w:cs="Open Sans"/>
          <w:sz w:val="20"/>
          <w:szCs w:val="20"/>
        </w:rPr>
        <w:t>.</w:t>
      </w:r>
    </w:p>
    <w:p w:rsidR="00146D33" w:rsidRPr="008C601A" w:rsidRDefault="00146D33" w:rsidP="00FD7282">
      <w:pPr>
        <w:jc w:val="both"/>
        <w:rPr>
          <w:rFonts w:ascii="Open Sans" w:hAnsi="Open Sans" w:cs="Open Sans"/>
          <w:sz w:val="20"/>
          <w:szCs w:val="20"/>
        </w:rPr>
      </w:pPr>
      <w:r w:rsidRPr="008C601A">
        <w:rPr>
          <w:rFonts w:ascii="Open Sans" w:hAnsi="Open Sans" w:cs="Open Sans"/>
          <w:sz w:val="20"/>
          <w:szCs w:val="20"/>
        </w:rPr>
        <w:t xml:space="preserve">D’où l’importance de disposer d’éléments chiffrés et fiables quant aux inégalités existantes, permettant </w:t>
      </w:r>
      <w:proofErr w:type="gramStart"/>
      <w:r w:rsidRPr="008C601A">
        <w:rPr>
          <w:rFonts w:ascii="Open Sans" w:hAnsi="Open Sans" w:cs="Open Sans"/>
          <w:sz w:val="20"/>
          <w:szCs w:val="20"/>
        </w:rPr>
        <w:t>de</w:t>
      </w:r>
      <w:proofErr w:type="gramEnd"/>
      <w:r w:rsidRPr="008C601A">
        <w:rPr>
          <w:rFonts w:ascii="Open Sans" w:hAnsi="Open Sans" w:cs="Open Sans"/>
          <w:sz w:val="20"/>
          <w:szCs w:val="20"/>
        </w:rPr>
        <w:t xml:space="preserve"> mieux en cerner les </w:t>
      </w:r>
      <w:r w:rsidR="00C87F0A" w:rsidRPr="008C601A">
        <w:rPr>
          <w:rFonts w:ascii="Open Sans" w:hAnsi="Open Sans" w:cs="Open Sans"/>
          <w:sz w:val="20"/>
          <w:szCs w:val="20"/>
        </w:rPr>
        <w:t>causes</w:t>
      </w:r>
      <w:r w:rsidRPr="008C601A">
        <w:rPr>
          <w:rFonts w:ascii="Open Sans" w:hAnsi="Open Sans" w:cs="Open Sans"/>
          <w:sz w:val="20"/>
          <w:szCs w:val="20"/>
        </w:rPr>
        <w:t>, afin d’imaginer les d</w:t>
      </w:r>
      <w:r w:rsidR="00C87F0A" w:rsidRPr="008C601A">
        <w:rPr>
          <w:rFonts w:ascii="Open Sans" w:hAnsi="Open Sans" w:cs="Open Sans"/>
          <w:sz w:val="20"/>
          <w:szCs w:val="20"/>
        </w:rPr>
        <w:t>ispositifs</w:t>
      </w:r>
      <w:r w:rsidRPr="008C601A">
        <w:rPr>
          <w:rFonts w:ascii="Open Sans" w:hAnsi="Open Sans" w:cs="Open Sans"/>
          <w:sz w:val="20"/>
          <w:szCs w:val="20"/>
        </w:rPr>
        <w:t xml:space="preserve"> utiles </w:t>
      </w:r>
      <w:r w:rsidR="00C87F0A" w:rsidRPr="008C601A">
        <w:rPr>
          <w:rFonts w:ascii="Open Sans" w:hAnsi="Open Sans" w:cs="Open Sans"/>
          <w:sz w:val="20"/>
          <w:szCs w:val="20"/>
        </w:rPr>
        <w:t>à</w:t>
      </w:r>
      <w:r w:rsidRPr="008C601A">
        <w:rPr>
          <w:rFonts w:ascii="Open Sans" w:hAnsi="Open Sans" w:cs="Open Sans"/>
          <w:sz w:val="20"/>
          <w:szCs w:val="20"/>
        </w:rPr>
        <w:t xml:space="preserve"> </w:t>
      </w:r>
      <w:r w:rsidR="004C2E8E" w:rsidRPr="008C601A">
        <w:rPr>
          <w:rFonts w:ascii="Open Sans" w:hAnsi="Open Sans" w:cs="Open Sans"/>
          <w:sz w:val="20"/>
          <w:szCs w:val="20"/>
        </w:rPr>
        <w:t>en</w:t>
      </w:r>
      <w:r w:rsidR="00C87F0A" w:rsidRPr="008C601A">
        <w:rPr>
          <w:rFonts w:ascii="Open Sans" w:hAnsi="Open Sans" w:cs="Open Sans"/>
          <w:sz w:val="20"/>
          <w:szCs w:val="20"/>
        </w:rPr>
        <w:t xml:space="preserve"> réduire</w:t>
      </w:r>
      <w:r w:rsidR="004C2E8E" w:rsidRPr="008C601A">
        <w:rPr>
          <w:rFonts w:ascii="Open Sans" w:hAnsi="Open Sans" w:cs="Open Sans"/>
          <w:sz w:val="20"/>
          <w:szCs w:val="20"/>
        </w:rPr>
        <w:t xml:space="preserve"> les conséquences</w:t>
      </w:r>
      <w:r w:rsidR="00C87F0A" w:rsidRPr="008C601A">
        <w:rPr>
          <w:rFonts w:ascii="Open Sans" w:hAnsi="Open Sans" w:cs="Open Sans"/>
          <w:sz w:val="20"/>
          <w:szCs w:val="20"/>
        </w:rPr>
        <w:t>.</w:t>
      </w:r>
    </w:p>
    <w:p w:rsidR="00C87F0A" w:rsidRPr="008C601A" w:rsidRDefault="00C87F0A" w:rsidP="00FD7282">
      <w:pPr>
        <w:jc w:val="both"/>
        <w:rPr>
          <w:rFonts w:ascii="Open Sans" w:hAnsi="Open Sans" w:cs="Open Sans"/>
          <w:sz w:val="20"/>
          <w:szCs w:val="20"/>
        </w:rPr>
      </w:pPr>
      <w:r w:rsidRPr="008C601A">
        <w:rPr>
          <w:rFonts w:ascii="Open Sans" w:hAnsi="Open Sans" w:cs="Open Sans"/>
          <w:sz w:val="20"/>
          <w:szCs w:val="20"/>
        </w:rPr>
        <w:t>Les données nécessaires ont été recueillies à travers les études menées par la Branche, ou pour elle. Ainsi, le portrait statistique élaboré par l’Observatoire des Métiers des Professions Libérales (OM</w:t>
      </w:r>
      <w:r w:rsidR="008C2872" w:rsidRPr="008C601A">
        <w:rPr>
          <w:rFonts w:ascii="Open Sans" w:hAnsi="Open Sans" w:cs="Open Sans"/>
          <w:sz w:val="20"/>
          <w:szCs w:val="20"/>
        </w:rPr>
        <w:t>PL), spécifiquement pour nous</w:t>
      </w:r>
      <w:r w:rsidRPr="008C601A">
        <w:rPr>
          <w:rFonts w:ascii="Open Sans" w:hAnsi="Open Sans" w:cs="Open Sans"/>
          <w:sz w:val="20"/>
          <w:szCs w:val="20"/>
        </w:rPr>
        <w:t xml:space="preserve"> et mis ligne</w:t>
      </w:r>
      <w:r w:rsidR="008C2872" w:rsidRPr="008C601A">
        <w:rPr>
          <w:rFonts w:ascii="Open Sans" w:hAnsi="Open Sans" w:cs="Open Sans"/>
          <w:sz w:val="20"/>
          <w:szCs w:val="20"/>
        </w:rPr>
        <w:t xml:space="preserve"> il y a un an sur notre site - </w:t>
      </w:r>
      <w:hyperlink r:id="rId7" w:history="1">
        <w:r w:rsidR="008C2872" w:rsidRPr="008C601A">
          <w:rPr>
            <w:rStyle w:val="Lienhypertexte"/>
            <w:rFonts w:ascii="Open Sans" w:hAnsi="Open Sans" w:cs="Open Sans"/>
            <w:sz w:val="20"/>
            <w:szCs w:val="20"/>
          </w:rPr>
          <w:t>www.branche-architecture.fr</w:t>
        </w:r>
      </w:hyperlink>
      <w:r w:rsidR="008C2872" w:rsidRPr="008C601A">
        <w:rPr>
          <w:rFonts w:ascii="Open Sans" w:hAnsi="Open Sans" w:cs="Open Sans"/>
          <w:sz w:val="20"/>
          <w:szCs w:val="20"/>
        </w:rPr>
        <w:t xml:space="preserve"> – permet de bien cerner les écarts existants. </w:t>
      </w:r>
    </w:p>
    <w:p w:rsidR="006A7E17" w:rsidRPr="008C601A" w:rsidRDefault="006A7E17" w:rsidP="00FD7282">
      <w:pPr>
        <w:jc w:val="both"/>
        <w:rPr>
          <w:rFonts w:ascii="Open Sans" w:hAnsi="Open Sans" w:cs="Open Sans"/>
          <w:sz w:val="20"/>
          <w:szCs w:val="20"/>
        </w:rPr>
      </w:pPr>
    </w:p>
    <w:p w:rsidR="006A7E17" w:rsidRPr="008C601A" w:rsidRDefault="006A7E17" w:rsidP="00FD7282">
      <w:pPr>
        <w:jc w:val="both"/>
        <w:rPr>
          <w:rFonts w:ascii="Open Sans" w:hAnsi="Open Sans" w:cs="Open Sans"/>
          <w:sz w:val="20"/>
          <w:szCs w:val="20"/>
        </w:rPr>
      </w:pPr>
      <w:r w:rsidRPr="008C601A">
        <w:rPr>
          <w:rFonts w:ascii="Open Sans" w:hAnsi="Open Sans" w:cs="Open Sans"/>
          <w:sz w:val="20"/>
          <w:szCs w:val="20"/>
        </w:rPr>
        <w:t xml:space="preserve">Si les femmes constituent 55 % des salariés de la Branche (chiffres 2010), leur </w:t>
      </w:r>
      <w:r w:rsidR="003315E4" w:rsidRPr="008C601A">
        <w:rPr>
          <w:rFonts w:ascii="Open Sans" w:hAnsi="Open Sans" w:cs="Open Sans"/>
          <w:sz w:val="20"/>
          <w:szCs w:val="20"/>
        </w:rPr>
        <w:t>proportion</w:t>
      </w:r>
      <w:r w:rsidRPr="008C601A">
        <w:rPr>
          <w:rFonts w:ascii="Open Sans" w:hAnsi="Open Sans" w:cs="Open Sans"/>
          <w:sz w:val="20"/>
          <w:szCs w:val="20"/>
        </w:rPr>
        <w:t xml:space="preserve"> varie au sein des di</w:t>
      </w:r>
      <w:r w:rsidR="008F42A6" w:rsidRPr="008C601A">
        <w:rPr>
          <w:rFonts w:ascii="Open Sans" w:hAnsi="Open Sans" w:cs="Open Sans"/>
          <w:sz w:val="20"/>
          <w:szCs w:val="20"/>
        </w:rPr>
        <w:t>fférentes</w:t>
      </w:r>
      <w:r w:rsidRPr="008C601A">
        <w:rPr>
          <w:rFonts w:ascii="Open Sans" w:hAnsi="Open Sans" w:cs="Open Sans"/>
          <w:sz w:val="20"/>
          <w:szCs w:val="20"/>
        </w:rPr>
        <w:t xml:space="preserve"> catégories sociales :</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5"/>
        <w:gridCol w:w="698"/>
        <w:gridCol w:w="784"/>
        <w:gridCol w:w="784"/>
        <w:gridCol w:w="787"/>
        <w:gridCol w:w="720"/>
        <w:gridCol w:w="590"/>
        <w:gridCol w:w="827"/>
        <w:gridCol w:w="641"/>
        <w:gridCol w:w="918"/>
        <w:gridCol w:w="851"/>
      </w:tblGrid>
      <w:tr w:rsidR="00631F2A" w:rsidRPr="008C601A" w:rsidTr="00631F2A">
        <w:trPr>
          <w:trHeight w:val="227"/>
        </w:trPr>
        <w:tc>
          <w:tcPr>
            <w:tcW w:w="905" w:type="dxa"/>
            <w:noWrap/>
            <w:vAlign w:val="center"/>
            <w:hideMark/>
          </w:tcPr>
          <w:p w:rsidR="006A7E17" w:rsidRPr="008C601A" w:rsidRDefault="006A7E17" w:rsidP="006A7E17">
            <w:pPr>
              <w:jc w:val="center"/>
              <w:rPr>
                <w:rFonts w:ascii="Open Sans" w:hAnsi="Open Sans" w:cs="Open Sans"/>
                <w:b/>
                <w:bCs/>
                <w:i/>
                <w:sz w:val="16"/>
                <w:szCs w:val="16"/>
              </w:rPr>
            </w:pPr>
          </w:p>
        </w:tc>
        <w:tc>
          <w:tcPr>
            <w:tcW w:w="1482" w:type="dxa"/>
            <w:gridSpan w:val="2"/>
            <w:vAlign w:val="center"/>
            <w:hideMark/>
          </w:tcPr>
          <w:p w:rsidR="006A7E17" w:rsidRPr="008C601A" w:rsidRDefault="006A7E17" w:rsidP="006A7E17">
            <w:pPr>
              <w:jc w:val="center"/>
              <w:rPr>
                <w:rFonts w:ascii="Open Sans" w:hAnsi="Open Sans" w:cs="Open Sans"/>
                <w:b/>
                <w:bCs/>
                <w:i/>
                <w:sz w:val="16"/>
                <w:szCs w:val="16"/>
              </w:rPr>
            </w:pPr>
            <w:r w:rsidRPr="008C601A">
              <w:rPr>
                <w:rFonts w:ascii="Open Sans" w:hAnsi="Open Sans" w:cs="Open Sans"/>
                <w:b/>
                <w:i/>
                <w:sz w:val="16"/>
                <w:szCs w:val="16"/>
              </w:rPr>
              <w:t>Cadres et professions intellect. sup.</w:t>
            </w:r>
          </w:p>
        </w:tc>
        <w:tc>
          <w:tcPr>
            <w:tcW w:w="1571" w:type="dxa"/>
            <w:gridSpan w:val="2"/>
            <w:vAlign w:val="center"/>
            <w:hideMark/>
          </w:tcPr>
          <w:p w:rsidR="006A7E17" w:rsidRPr="008C601A" w:rsidRDefault="006A7E17" w:rsidP="006A7E17">
            <w:pPr>
              <w:jc w:val="center"/>
              <w:rPr>
                <w:rFonts w:ascii="Open Sans" w:hAnsi="Open Sans" w:cs="Open Sans"/>
                <w:b/>
                <w:bCs/>
                <w:i/>
                <w:sz w:val="16"/>
                <w:szCs w:val="16"/>
              </w:rPr>
            </w:pPr>
            <w:r w:rsidRPr="008C601A">
              <w:rPr>
                <w:rFonts w:ascii="Open Sans" w:hAnsi="Open Sans" w:cs="Open Sans"/>
                <w:b/>
                <w:i/>
                <w:sz w:val="16"/>
                <w:szCs w:val="16"/>
              </w:rPr>
              <w:t>Professions intermédiaires</w:t>
            </w:r>
          </w:p>
        </w:tc>
        <w:tc>
          <w:tcPr>
            <w:tcW w:w="1310" w:type="dxa"/>
            <w:gridSpan w:val="2"/>
            <w:noWrap/>
            <w:vAlign w:val="center"/>
            <w:hideMark/>
          </w:tcPr>
          <w:p w:rsidR="006A7E17" w:rsidRPr="008C601A" w:rsidRDefault="006A7E17" w:rsidP="006A7E17">
            <w:pPr>
              <w:jc w:val="center"/>
              <w:rPr>
                <w:rFonts w:ascii="Open Sans" w:hAnsi="Open Sans" w:cs="Open Sans"/>
                <w:b/>
                <w:bCs/>
                <w:i/>
                <w:sz w:val="16"/>
                <w:szCs w:val="16"/>
              </w:rPr>
            </w:pPr>
            <w:r w:rsidRPr="008C601A">
              <w:rPr>
                <w:rFonts w:ascii="Open Sans" w:hAnsi="Open Sans" w:cs="Open Sans"/>
                <w:b/>
                <w:i/>
                <w:sz w:val="16"/>
                <w:szCs w:val="16"/>
              </w:rPr>
              <w:t>Employés</w:t>
            </w:r>
          </w:p>
        </w:tc>
        <w:tc>
          <w:tcPr>
            <w:tcW w:w="1468" w:type="dxa"/>
            <w:gridSpan w:val="2"/>
            <w:noWrap/>
            <w:vAlign w:val="center"/>
            <w:hideMark/>
          </w:tcPr>
          <w:p w:rsidR="006A7E17" w:rsidRPr="008C601A" w:rsidRDefault="006A7E17" w:rsidP="006A7E17">
            <w:pPr>
              <w:jc w:val="center"/>
              <w:rPr>
                <w:rFonts w:ascii="Open Sans" w:hAnsi="Open Sans" w:cs="Open Sans"/>
                <w:b/>
                <w:bCs/>
                <w:i/>
                <w:sz w:val="16"/>
                <w:szCs w:val="16"/>
              </w:rPr>
            </w:pPr>
            <w:r w:rsidRPr="008C601A">
              <w:rPr>
                <w:rFonts w:ascii="Open Sans" w:hAnsi="Open Sans" w:cs="Open Sans"/>
                <w:b/>
                <w:i/>
                <w:sz w:val="16"/>
                <w:szCs w:val="16"/>
              </w:rPr>
              <w:t>Ouvriers</w:t>
            </w:r>
          </w:p>
        </w:tc>
        <w:tc>
          <w:tcPr>
            <w:tcW w:w="1769" w:type="dxa"/>
            <w:gridSpan w:val="2"/>
            <w:vAlign w:val="center"/>
            <w:hideMark/>
          </w:tcPr>
          <w:p w:rsidR="006A7E17" w:rsidRPr="008C601A" w:rsidRDefault="006A7E17" w:rsidP="006A7E17">
            <w:pPr>
              <w:jc w:val="center"/>
              <w:rPr>
                <w:rFonts w:ascii="Open Sans" w:hAnsi="Open Sans" w:cs="Open Sans"/>
                <w:b/>
                <w:bCs/>
                <w:i/>
                <w:sz w:val="16"/>
                <w:szCs w:val="16"/>
              </w:rPr>
            </w:pPr>
            <w:r w:rsidRPr="008C601A">
              <w:rPr>
                <w:rFonts w:ascii="Open Sans" w:hAnsi="Open Sans" w:cs="Open Sans"/>
                <w:b/>
                <w:i/>
                <w:sz w:val="16"/>
                <w:szCs w:val="16"/>
              </w:rPr>
              <w:t>Total général</w:t>
            </w:r>
          </w:p>
        </w:tc>
      </w:tr>
      <w:tr w:rsidR="00631F2A" w:rsidRPr="008C601A" w:rsidTr="00631F2A">
        <w:trPr>
          <w:trHeight w:val="227"/>
        </w:trPr>
        <w:tc>
          <w:tcPr>
            <w:tcW w:w="905" w:type="dxa"/>
            <w:shd w:val="clear" w:color="auto" w:fill="auto"/>
            <w:noWrap/>
            <w:vAlign w:val="center"/>
            <w:hideMark/>
          </w:tcPr>
          <w:p w:rsidR="006A7E17" w:rsidRPr="008C601A" w:rsidRDefault="006A7E17" w:rsidP="008F1830">
            <w:pPr>
              <w:rPr>
                <w:rFonts w:ascii="Open Sans" w:hAnsi="Open Sans" w:cs="Open Sans"/>
                <w:i/>
                <w:sz w:val="16"/>
                <w:szCs w:val="16"/>
              </w:rPr>
            </w:pPr>
            <w:r w:rsidRPr="008C601A">
              <w:rPr>
                <w:rFonts w:ascii="Open Sans" w:hAnsi="Open Sans" w:cs="Open Sans"/>
                <w:i/>
                <w:sz w:val="16"/>
                <w:szCs w:val="16"/>
              </w:rPr>
              <w:t>femmes</w:t>
            </w:r>
          </w:p>
        </w:tc>
        <w:tc>
          <w:tcPr>
            <w:tcW w:w="698" w:type="dxa"/>
            <w:shd w:val="clear" w:color="auto" w:fill="auto"/>
            <w:noWrap/>
            <w:vAlign w:val="center"/>
            <w:hideMark/>
          </w:tcPr>
          <w:p w:rsidR="006A7E17" w:rsidRPr="008C601A" w:rsidRDefault="006A7E17" w:rsidP="006A7E17">
            <w:pPr>
              <w:jc w:val="center"/>
              <w:rPr>
                <w:rFonts w:ascii="Open Sans" w:hAnsi="Open Sans" w:cs="Open Sans"/>
                <w:i/>
                <w:sz w:val="16"/>
                <w:szCs w:val="16"/>
              </w:rPr>
            </w:pPr>
            <w:r w:rsidRPr="008C601A">
              <w:rPr>
                <w:rFonts w:ascii="Open Sans" w:hAnsi="Open Sans" w:cs="Open Sans"/>
                <w:i/>
                <w:sz w:val="16"/>
                <w:szCs w:val="16"/>
              </w:rPr>
              <w:t>5 736</w:t>
            </w:r>
          </w:p>
        </w:tc>
        <w:tc>
          <w:tcPr>
            <w:tcW w:w="784" w:type="dxa"/>
            <w:shd w:val="clear" w:color="auto" w:fill="auto"/>
            <w:noWrap/>
            <w:vAlign w:val="center"/>
            <w:hideMark/>
          </w:tcPr>
          <w:p w:rsidR="006A7E17" w:rsidRPr="008C601A" w:rsidRDefault="006A7E17" w:rsidP="006A7E17">
            <w:pPr>
              <w:jc w:val="center"/>
              <w:rPr>
                <w:rFonts w:ascii="Open Sans" w:hAnsi="Open Sans" w:cs="Open Sans"/>
                <w:i/>
                <w:sz w:val="16"/>
                <w:szCs w:val="16"/>
              </w:rPr>
            </w:pPr>
            <w:r w:rsidRPr="008C601A">
              <w:rPr>
                <w:rFonts w:ascii="Open Sans" w:hAnsi="Open Sans" w:cs="Open Sans"/>
                <w:i/>
                <w:sz w:val="16"/>
                <w:szCs w:val="16"/>
              </w:rPr>
              <w:t>29</w:t>
            </w:r>
            <w:r w:rsidR="00631F2A" w:rsidRPr="008C601A">
              <w:rPr>
                <w:rFonts w:ascii="Open Sans" w:hAnsi="Open Sans" w:cs="Open Sans"/>
                <w:i/>
                <w:sz w:val="16"/>
                <w:szCs w:val="16"/>
              </w:rPr>
              <w:t xml:space="preserve"> </w:t>
            </w:r>
            <w:r w:rsidRPr="008C601A">
              <w:rPr>
                <w:rFonts w:ascii="Open Sans" w:hAnsi="Open Sans" w:cs="Open Sans"/>
                <w:i/>
                <w:sz w:val="16"/>
                <w:szCs w:val="16"/>
              </w:rPr>
              <w:t>%</w:t>
            </w:r>
          </w:p>
        </w:tc>
        <w:tc>
          <w:tcPr>
            <w:tcW w:w="784" w:type="dxa"/>
            <w:shd w:val="clear" w:color="auto" w:fill="auto"/>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6 180</w:t>
            </w:r>
          </w:p>
        </w:tc>
        <w:tc>
          <w:tcPr>
            <w:tcW w:w="787" w:type="dxa"/>
            <w:shd w:val="clear" w:color="auto" w:fill="auto"/>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32</w:t>
            </w:r>
            <w:r w:rsidR="00631F2A" w:rsidRPr="008C601A">
              <w:rPr>
                <w:rFonts w:ascii="Open Sans" w:hAnsi="Open Sans" w:cs="Open Sans"/>
                <w:i/>
                <w:sz w:val="16"/>
                <w:szCs w:val="16"/>
              </w:rPr>
              <w:t xml:space="preserve"> </w:t>
            </w:r>
            <w:r w:rsidRPr="008C601A">
              <w:rPr>
                <w:rFonts w:ascii="Open Sans" w:hAnsi="Open Sans" w:cs="Open Sans"/>
                <w:i/>
                <w:sz w:val="16"/>
                <w:szCs w:val="16"/>
              </w:rPr>
              <w:t>%</w:t>
            </w:r>
          </w:p>
        </w:tc>
        <w:tc>
          <w:tcPr>
            <w:tcW w:w="720" w:type="dxa"/>
            <w:shd w:val="clear" w:color="auto" w:fill="auto"/>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7 152</w:t>
            </w:r>
          </w:p>
        </w:tc>
        <w:tc>
          <w:tcPr>
            <w:tcW w:w="590" w:type="dxa"/>
            <w:shd w:val="clear" w:color="auto" w:fill="auto"/>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37</w:t>
            </w:r>
            <w:r w:rsidR="00631F2A" w:rsidRPr="008C601A">
              <w:rPr>
                <w:rFonts w:ascii="Open Sans" w:hAnsi="Open Sans" w:cs="Open Sans"/>
                <w:i/>
                <w:sz w:val="16"/>
                <w:szCs w:val="16"/>
              </w:rPr>
              <w:t xml:space="preserve"> </w:t>
            </w:r>
            <w:r w:rsidRPr="008C601A">
              <w:rPr>
                <w:rFonts w:ascii="Open Sans" w:hAnsi="Open Sans" w:cs="Open Sans"/>
                <w:i/>
                <w:sz w:val="16"/>
                <w:szCs w:val="16"/>
              </w:rPr>
              <w:t>%</w:t>
            </w:r>
          </w:p>
        </w:tc>
        <w:tc>
          <w:tcPr>
            <w:tcW w:w="827" w:type="dxa"/>
            <w:shd w:val="clear" w:color="auto" w:fill="auto"/>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480</w:t>
            </w:r>
          </w:p>
        </w:tc>
        <w:tc>
          <w:tcPr>
            <w:tcW w:w="641" w:type="dxa"/>
            <w:shd w:val="clear" w:color="auto" w:fill="auto"/>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2</w:t>
            </w:r>
            <w:r w:rsidR="00631F2A" w:rsidRPr="008C601A">
              <w:rPr>
                <w:rFonts w:ascii="Open Sans" w:hAnsi="Open Sans" w:cs="Open Sans"/>
                <w:i/>
                <w:sz w:val="16"/>
                <w:szCs w:val="16"/>
              </w:rPr>
              <w:t xml:space="preserve"> </w:t>
            </w:r>
            <w:r w:rsidRPr="008C601A">
              <w:rPr>
                <w:rFonts w:ascii="Open Sans" w:hAnsi="Open Sans" w:cs="Open Sans"/>
                <w:i/>
                <w:sz w:val="16"/>
                <w:szCs w:val="16"/>
              </w:rPr>
              <w:t>%</w:t>
            </w:r>
          </w:p>
        </w:tc>
        <w:tc>
          <w:tcPr>
            <w:tcW w:w="918" w:type="dxa"/>
            <w:shd w:val="clear" w:color="auto" w:fill="auto"/>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19 548</w:t>
            </w:r>
          </w:p>
        </w:tc>
        <w:tc>
          <w:tcPr>
            <w:tcW w:w="851" w:type="dxa"/>
            <w:shd w:val="clear" w:color="auto" w:fill="auto"/>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100</w:t>
            </w:r>
            <w:r w:rsidR="00631F2A" w:rsidRPr="008C601A">
              <w:rPr>
                <w:rFonts w:ascii="Open Sans" w:hAnsi="Open Sans" w:cs="Open Sans"/>
                <w:i/>
                <w:sz w:val="16"/>
                <w:szCs w:val="16"/>
              </w:rPr>
              <w:t xml:space="preserve"> </w:t>
            </w:r>
            <w:r w:rsidRPr="008C601A">
              <w:rPr>
                <w:rFonts w:ascii="Open Sans" w:hAnsi="Open Sans" w:cs="Open Sans"/>
                <w:i/>
                <w:sz w:val="16"/>
                <w:szCs w:val="16"/>
              </w:rPr>
              <w:t>%</w:t>
            </w:r>
          </w:p>
        </w:tc>
      </w:tr>
      <w:tr w:rsidR="00631F2A" w:rsidRPr="008C601A" w:rsidTr="00631F2A">
        <w:trPr>
          <w:trHeight w:val="227"/>
        </w:trPr>
        <w:tc>
          <w:tcPr>
            <w:tcW w:w="905" w:type="dxa"/>
            <w:noWrap/>
            <w:vAlign w:val="center"/>
            <w:hideMark/>
          </w:tcPr>
          <w:p w:rsidR="006A7E17" w:rsidRPr="008C601A" w:rsidRDefault="006A7E17" w:rsidP="008F1830">
            <w:pPr>
              <w:rPr>
                <w:rFonts w:ascii="Open Sans" w:hAnsi="Open Sans" w:cs="Open Sans"/>
                <w:i/>
                <w:sz w:val="16"/>
                <w:szCs w:val="16"/>
              </w:rPr>
            </w:pPr>
            <w:r w:rsidRPr="008C601A">
              <w:rPr>
                <w:rFonts w:ascii="Open Sans" w:hAnsi="Open Sans" w:cs="Open Sans"/>
                <w:i/>
                <w:sz w:val="16"/>
                <w:szCs w:val="16"/>
              </w:rPr>
              <w:t>Hommes</w:t>
            </w:r>
          </w:p>
        </w:tc>
        <w:tc>
          <w:tcPr>
            <w:tcW w:w="698" w:type="dxa"/>
            <w:noWrap/>
            <w:vAlign w:val="center"/>
            <w:hideMark/>
          </w:tcPr>
          <w:p w:rsidR="006A7E17" w:rsidRPr="008C601A" w:rsidRDefault="006A7E17" w:rsidP="006A7E17">
            <w:pPr>
              <w:jc w:val="center"/>
              <w:rPr>
                <w:rFonts w:ascii="Open Sans" w:hAnsi="Open Sans" w:cs="Open Sans"/>
                <w:i/>
                <w:sz w:val="16"/>
                <w:szCs w:val="16"/>
              </w:rPr>
            </w:pPr>
            <w:r w:rsidRPr="008C601A">
              <w:rPr>
                <w:rFonts w:ascii="Open Sans" w:hAnsi="Open Sans" w:cs="Open Sans"/>
                <w:i/>
                <w:sz w:val="16"/>
                <w:szCs w:val="16"/>
              </w:rPr>
              <w:t>7 188</w:t>
            </w:r>
          </w:p>
        </w:tc>
        <w:tc>
          <w:tcPr>
            <w:tcW w:w="784" w:type="dxa"/>
            <w:noWrap/>
            <w:vAlign w:val="center"/>
            <w:hideMark/>
          </w:tcPr>
          <w:p w:rsidR="006A7E17" w:rsidRPr="008C601A" w:rsidRDefault="006A7E17" w:rsidP="006A7E17">
            <w:pPr>
              <w:jc w:val="center"/>
              <w:rPr>
                <w:rFonts w:ascii="Open Sans" w:hAnsi="Open Sans" w:cs="Open Sans"/>
                <w:i/>
                <w:sz w:val="16"/>
                <w:szCs w:val="16"/>
              </w:rPr>
            </w:pPr>
            <w:r w:rsidRPr="008C601A">
              <w:rPr>
                <w:rFonts w:ascii="Open Sans" w:hAnsi="Open Sans" w:cs="Open Sans"/>
                <w:i/>
                <w:sz w:val="16"/>
                <w:szCs w:val="16"/>
              </w:rPr>
              <w:t>43</w:t>
            </w:r>
            <w:r w:rsidR="00631F2A" w:rsidRPr="008C601A">
              <w:rPr>
                <w:rFonts w:ascii="Open Sans" w:hAnsi="Open Sans" w:cs="Open Sans"/>
                <w:i/>
                <w:sz w:val="16"/>
                <w:szCs w:val="16"/>
              </w:rPr>
              <w:t xml:space="preserve"> </w:t>
            </w:r>
            <w:r w:rsidRPr="008C601A">
              <w:rPr>
                <w:rFonts w:ascii="Open Sans" w:hAnsi="Open Sans" w:cs="Open Sans"/>
                <w:i/>
                <w:sz w:val="16"/>
                <w:szCs w:val="16"/>
              </w:rPr>
              <w:t>%</w:t>
            </w:r>
          </w:p>
        </w:tc>
        <w:tc>
          <w:tcPr>
            <w:tcW w:w="784" w:type="dxa"/>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7 512</w:t>
            </w:r>
          </w:p>
        </w:tc>
        <w:tc>
          <w:tcPr>
            <w:tcW w:w="787" w:type="dxa"/>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45</w:t>
            </w:r>
            <w:r w:rsidR="00631F2A" w:rsidRPr="008C601A">
              <w:rPr>
                <w:rFonts w:ascii="Open Sans" w:hAnsi="Open Sans" w:cs="Open Sans"/>
                <w:i/>
                <w:sz w:val="16"/>
                <w:szCs w:val="16"/>
              </w:rPr>
              <w:t xml:space="preserve"> </w:t>
            </w:r>
            <w:r w:rsidRPr="008C601A">
              <w:rPr>
                <w:rFonts w:ascii="Open Sans" w:hAnsi="Open Sans" w:cs="Open Sans"/>
                <w:i/>
                <w:sz w:val="16"/>
                <w:szCs w:val="16"/>
              </w:rPr>
              <w:t>%</w:t>
            </w:r>
          </w:p>
        </w:tc>
        <w:tc>
          <w:tcPr>
            <w:tcW w:w="720" w:type="dxa"/>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1 092</w:t>
            </w:r>
          </w:p>
        </w:tc>
        <w:tc>
          <w:tcPr>
            <w:tcW w:w="590" w:type="dxa"/>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7</w:t>
            </w:r>
            <w:r w:rsidR="00631F2A" w:rsidRPr="008C601A">
              <w:rPr>
                <w:rFonts w:ascii="Open Sans" w:hAnsi="Open Sans" w:cs="Open Sans"/>
                <w:i/>
                <w:sz w:val="16"/>
                <w:szCs w:val="16"/>
              </w:rPr>
              <w:t xml:space="preserve"> </w:t>
            </w:r>
            <w:r w:rsidRPr="008C601A">
              <w:rPr>
                <w:rFonts w:ascii="Open Sans" w:hAnsi="Open Sans" w:cs="Open Sans"/>
                <w:i/>
                <w:sz w:val="16"/>
                <w:szCs w:val="16"/>
              </w:rPr>
              <w:t>%</w:t>
            </w:r>
          </w:p>
        </w:tc>
        <w:tc>
          <w:tcPr>
            <w:tcW w:w="827" w:type="dxa"/>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1 008</w:t>
            </w:r>
          </w:p>
        </w:tc>
        <w:tc>
          <w:tcPr>
            <w:tcW w:w="641" w:type="dxa"/>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6</w:t>
            </w:r>
            <w:r w:rsidR="00631F2A" w:rsidRPr="008C601A">
              <w:rPr>
                <w:rFonts w:ascii="Open Sans" w:hAnsi="Open Sans" w:cs="Open Sans"/>
                <w:i/>
                <w:sz w:val="16"/>
                <w:szCs w:val="16"/>
              </w:rPr>
              <w:t xml:space="preserve"> </w:t>
            </w:r>
            <w:r w:rsidRPr="008C601A">
              <w:rPr>
                <w:rFonts w:ascii="Open Sans" w:hAnsi="Open Sans" w:cs="Open Sans"/>
                <w:i/>
                <w:sz w:val="16"/>
                <w:szCs w:val="16"/>
              </w:rPr>
              <w:t>%</w:t>
            </w:r>
          </w:p>
        </w:tc>
        <w:tc>
          <w:tcPr>
            <w:tcW w:w="918" w:type="dxa"/>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16 800</w:t>
            </w:r>
          </w:p>
        </w:tc>
        <w:tc>
          <w:tcPr>
            <w:tcW w:w="851" w:type="dxa"/>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100</w:t>
            </w:r>
            <w:r w:rsidR="00631F2A" w:rsidRPr="008C601A">
              <w:rPr>
                <w:rFonts w:ascii="Open Sans" w:hAnsi="Open Sans" w:cs="Open Sans"/>
                <w:i/>
                <w:sz w:val="16"/>
                <w:szCs w:val="16"/>
              </w:rPr>
              <w:t xml:space="preserve"> </w:t>
            </w:r>
            <w:r w:rsidRPr="008C601A">
              <w:rPr>
                <w:rFonts w:ascii="Open Sans" w:hAnsi="Open Sans" w:cs="Open Sans"/>
                <w:i/>
                <w:sz w:val="16"/>
                <w:szCs w:val="16"/>
              </w:rPr>
              <w:t>%</w:t>
            </w:r>
          </w:p>
        </w:tc>
      </w:tr>
      <w:tr w:rsidR="00631F2A" w:rsidRPr="008C601A" w:rsidTr="00631F2A">
        <w:trPr>
          <w:trHeight w:val="227"/>
        </w:trPr>
        <w:tc>
          <w:tcPr>
            <w:tcW w:w="905" w:type="dxa"/>
            <w:shd w:val="clear" w:color="auto" w:fill="auto"/>
            <w:noWrap/>
            <w:vAlign w:val="center"/>
            <w:hideMark/>
          </w:tcPr>
          <w:p w:rsidR="006A7E17" w:rsidRPr="008C601A" w:rsidRDefault="006A7E17" w:rsidP="008F1830">
            <w:pPr>
              <w:rPr>
                <w:rFonts w:ascii="Open Sans" w:hAnsi="Open Sans" w:cs="Open Sans"/>
                <w:i/>
                <w:sz w:val="16"/>
                <w:szCs w:val="16"/>
              </w:rPr>
            </w:pPr>
            <w:r w:rsidRPr="008C601A">
              <w:rPr>
                <w:rFonts w:ascii="Open Sans" w:hAnsi="Open Sans" w:cs="Open Sans"/>
                <w:i/>
                <w:sz w:val="16"/>
                <w:szCs w:val="16"/>
              </w:rPr>
              <w:t>Total général</w:t>
            </w:r>
          </w:p>
        </w:tc>
        <w:tc>
          <w:tcPr>
            <w:tcW w:w="698" w:type="dxa"/>
            <w:shd w:val="clear" w:color="auto" w:fill="auto"/>
            <w:noWrap/>
            <w:vAlign w:val="center"/>
            <w:hideMark/>
          </w:tcPr>
          <w:p w:rsidR="006A7E17" w:rsidRPr="008C601A" w:rsidRDefault="006A7E17" w:rsidP="006A7E17">
            <w:pPr>
              <w:jc w:val="center"/>
              <w:rPr>
                <w:rFonts w:ascii="Open Sans" w:hAnsi="Open Sans" w:cs="Open Sans"/>
                <w:i/>
                <w:sz w:val="16"/>
                <w:szCs w:val="16"/>
              </w:rPr>
            </w:pPr>
            <w:r w:rsidRPr="008C601A">
              <w:rPr>
                <w:rFonts w:ascii="Open Sans" w:hAnsi="Open Sans" w:cs="Open Sans"/>
                <w:i/>
                <w:sz w:val="16"/>
                <w:szCs w:val="16"/>
              </w:rPr>
              <w:t>12 924</w:t>
            </w:r>
          </w:p>
        </w:tc>
        <w:tc>
          <w:tcPr>
            <w:tcW w:w="784" w:type="dxa"/>
            <w:shd w:val="clear" w:color="auto" w:fill="auto"/>
            <w:noWrap/>
            <w:vAlign w:val="center"/>
            <w:hideMark/>
          </w:tcPr>
          <w:p w:rsidR="006A7E17" w:rsidRPr="008C601A" w:rsidRDefault="006A7E17" w:rsidP="006A7E17">
            <w:pPr>
              <w:jc w:val="center"/>
              <w:rPr>
                <w:rFonts w:ascii="Open Sans" w:hAnsi="Open Sans" w:cs="Open Sans"/>
                <w:i/>
                <w:sz w:val="16"/>
                <w:szCs w:val="16"/>
              </w:rPr>
            </w:pPr>
            <w:r w:rsidRPr="008C601A">
              <w:rPr>
                <w:rFonts w:ascii="Open Sans" w:hAnsi="Open Sans" w:cs="Open Sans"/>
                <w:i/>
                <w:sz w:val="16"/>
                <w:szCs w:val="16"/>
              </w:rPr>
              <w:t>36</w:t>
            </w:r>
            <w:r w:rsidR="00631F2A" w:rsidRPr="008C601A">
              <w:rPr>
                <w:rFonts w:ascii="Open Sans" w:hAnsi="Open Sans" w:cs="Open Sans"/>
                <w:i/>
                <w:sz w:val="16"/>
                <w:szCs w:val="16"/>
              </w:rPr>
              <w:t xml:space="preserve"> </w:t>
            </w:r>
            <w:r w:rsidRPr="008C601A">
              <w:rPr>
                <w:rFonts w:ascii="Open Sans" w:hAnsi="Open Sans" w:cs="Open Sans"/>
                <w:i/>
                <w:sz w:val="16"/>
                <w:szCs w:val="16"/>
              </w:rPr>
              <w:t>%</w:t>
            </w:r>
          </w:p>
        </w:tc>
        <w:tc>
          <w:tcPr>
            <w:tcW w:w="784" w:type="dxa"/>
            <w:shd w:val="clear" w:color="auto" w:fill="auto"/>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13 692</w:t>
            </w:r>
          </w:p>
        </w:tc>
        <w:tc>
          <w:tcPr>
            <w:tcW w:w="787" w:type="dxa"/>
            <w:shd w:val="clear" w:color="auto" w:fill="auto"/>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38</w:t>
            </w:r>
            <w:r w:rsidR="00631F2A" w:rsidRPr="008C601A">
              <w:rPr>
                <w:rFonts w:ascii="Open Sans" w:hAnsi="Open Sans" w:cs="Open Sans"/>
                <w:i/>
                <w:sz w:val="16"/>
                <w:szCs w:val="16"/>
              </w:rPr>
              <w:t xml:space="preserve"> </w:t>
            </w:r>
            <w:r w:rsidRPr="008C601A">
              <w:rPr>
                <w:rFonts w:ascii="Open Sans" w:hAnsi="Open Sans" w:cs="Open Sans"/>
                <w:i/>
                <w:sz w:val="16"/>
                <w:szCs w:val="16"/>
              </w:rPr>
              <w:t>%</w:t>
            </w:r>
          </w:p>
        </w:tc>
        <w:tc>
          <w:tcPr>
            <w:tcW w:w="720" w:type="dxa"/>
            <w:shd w:val="clear" w:color="auto" w:fill="auto"/>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8 244</w:t>
            </w:r>
          </w:p>
        </w:tc>
        <w:tc>
          <w:tcPr>
            <w:tcW w:w="590" w:type="dxa"/>
            <w:shd w:val="clear" w:color="auto" w:fill="auto"/>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23</w:t>
            </w:r>
            <w:r w:rsidR="00631F2A" w:rsidRPr="008C601A">
              <w:rPr>
                <w:rFonts w:ascii="Open Sans" w:hAnsi="Open Sans" w:cs="Open Sans"/>
                <w:i/>
                <w:sz w:val="16"/>
                <w:szCs w:val="16"/>
              </w:rPr>
              <w:t xml:space="preserve"> </w:t>
            </w:r>
            <w:r w:rsidRPr="008C601A">
              <w:rPr>
                <w:rFonts w:ascii="Open Sans" w:hAnsi="Open Sans" w:cs="Open Sans"/>
                <w:i/>
                <w:sz w:val="16"/>
                <w:szCs w:val="16"/>
              </w:rPr>
              <w:t>%</w:t>
            </w:r>
          </w:p>
        </w:tc>
        <w:tc>
          <w:tcPr>
            <w:tcW w:w="827" w:type="dxa"/>
            <w:shd w:val="clear" w:color="auto" w:fill="auto"/>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1 488</w:t>
            </w:r>
          </w:p>
        </w:tc>
        <w:tc>
          <w:tcPr>
            <w:tcW w:w="641" w:type="dxa"/>
            <w:shd w:val="clear" w:color="auto" w:fill="auto"/>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4</w:t>
            </w:r>
            <w:r w:rsidR="00631F2A" w:rsidRPr="008C601A">
              <w:rPr>
                <w:rFonts w:ascii="Open Sans" w:hAnsi="Open Sans" w:cs="Open Sans"/>
                <w:i/>
                <w:sz w:val="16"/>
                <w:szCs w:val="16"/>
              </w:rPr>
              <w:t xml:space="preserve"> </w:t>
            </w:r>
            <w:r w:rsidRPr="008C601A">
              <w:rPr>
                <w:rFonts w:ascii="Open Sans" w:hAnsi="Open Sans" w:cs="Open Sans"/>
                <w:i/>
                <w:sz w:val="16"/>
                <w:szCs w:val="16"/>
              </w:rPr>
              <w:t>%</w:t>
            </w:r>
          </w:p>
        </w:tc>
        <w:tc>
          <w:tcPr>
            <w:tcW w:w="918" w:type="dxa"/>
            <w:shd w:val="clear" w:color="auto" w:fill="auto"/>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36 348</w:t>
            </w:r>
          </w:p>
        </w:tc>
        <w:tc>
          <w:tcPr>
            <w:tcW w:w="851" w:type="dxa"/>
            <w:shd w:val="clear" w:color="auto" w:fill="auto"/>
            <w:noWrap/>
            <w:vAlign w:val="center"/>
            <w:hideMark/>
          </w:tcPr>
          <w:p w:rsidR="006A7E17" w:rsidRPr="008C601A" w:rsidRDefault="006A7E17" w:rsidP="006A7E17">
            <w:pPr>
              <w:jc w:val="right"/>
              <w:rPr>
                <w:rFonts w:ascii="Open Sans" w:hAnsi="Open Sans" w:cs="Open Sans"/>
                <w:i/>
                <w:sz w:val="16"/>
                <w:szCs w:val="16"/>
              </w:rPr>
            </w:pPr>
            <w:r w:rsidRPr="008C601A">
              <w:rPr>
                <w:rFonts w:ascii="Open Sans" w:hAnsi="Open Sans" w:cs="Open Sans"/>
                <w:i/>
                <w:sz w:val="16"/>
                <w:szCs w:val="16"/>
              </w:rPr>
              <w:t>100</w:t>
            </w:r>
            <w:r w:rsidR="00631F2A" w:rsidRPr="008C601A">
              <w:rPr>
                <w:rFonts w:ascii="Open Sans" w:hAnsi="Open Sans" w:cs="Open Sans"/>
                <w:i/>
                <w:sz w:val="16"/>
                <w:szCs w:val="16"/>
              </w:rPr>
              <w:t xml:space="preserve"> </w:t>
            </w:r>
            <w:r w:rsidRPr="008C601A">
              <w:rPr>
                <w:rFonts w:ascii="Open Sans" w:hAnsi="Open Sans" w:cs="Open Sans"/>
                <w:i/>
                <w:sz w:val="16"/>
                <w:szCs w:val="16"/>
              </w:rPr>
              <w:t>%</w:t>
            </w:r>
          </w:p>
        </w:tc>
      </w:tr>
    </w:tbl>
    <w:p w:rsidR="00B73508" w:rsidRPr="008C601A" w:rsidRDefault="00B73508" w:rsidP="00FD7282">
      <w:pPr>
        <w:jc w:val="both"/>
        <w:rPr>
          <w:rFonts w:ascii="Open Sans" w:hAnsi="Open Sans" w:cs="Open Sans"/>
          <w:sz w:val="20"/>
          <w:szCs w:val="20"/>
        </w:rPr>
      </w:pPr>
    </w:p>
    <w:p w:rsidR="006A7E17" w:rsidRPr="008C601A" w:rsidRDefault="00A3217B" w:rsidP="00FD7282">
      <w:pPr>
        <w:jc w:val="both"/>
        <w:rPr>
          <w:rFonts w:ascii="Open Sans" w:hAnsi="Open Sans" w:cs="Open Sans"/>
          <w:sz w:val="20"/>
          <w:szCs w:val="20"/>
        </w:rPr>
      </w:pPr>
      <w:r w:rsidRPr="008C601A">
        <w:rPr>
          <w:rFonts w:ascii="Open Sans" w:hAnsi="Open Sans" w:cs="Open Sans"/>
          <w:sz w:val="20"/>
          <w:szCs w:val="20"/>
        </w:rPr>
        <w:t>Cette disparité, au niveau des qualification</w:t>
      </w:r>
      <w:r w:rsidR="002F4E26" w:rsidRPr="008C601A">
        <w:rPr>
          <w:rFonts w:ascii="Open Sans" w:hAnsi="Open Sans" w:cs="Open Sans"/>
          <w:sz w:val="20"/>
          <w:szCs w:val="20"/>
        </w:rPr>
        <w:t>s</w:t>
      </w:r>
      <w:r w:rsidRPr="008C601A">
        <w:rPr>
          <w:rFonts w:ascii="Open Sans" w:hAnsi="Open Sans" w:cs="Open Sans"/>
          <w:sz w:val="20"/>
          <w:szCs w:val="20"/>
        </w:rPr>
        <w:t xml:space="preserve"> reconnues et des responsabilités </w:t>
      </w:r>
      <w:r w:rsidR="00631F2A" w:rsidRPr="008C601A">
        <w:rPr>
          <w:rFonts w:ascii="Open Sans" w:hAnsi="Open Sans" w:cs="Open Sans"/>
          <w:sz w:val="20"/>
          <w:szCs w:val="20"/>
        </w:rPr>
        <w:t>confi</w:t>
      </w:r>
      <w:r w:rsidRPr="008C601A">
        <w:rPr>
          <w:rFonts w:ascii="Open Sans" w:hAnsi="Open Sans" w:cs="Open Sans"/>
          <w:sz w:val="20"/>
          <w:szCs w:val="20"/>
        </w:rPr>
        <w:t xml:space="preserve">ées, n’explique pas à elle seule </w:t>
      </w:r>
      <w:r w:rsidR="002F4E26" w:rsidRPr="008C601A">
        <w:rPr>
          <w:rFonts w:ascii="Open Sans" w:hAnsi="Open Sans" w:cs="Open Sans"/>
          <w:sz w:val="20"/>
          <w:szCs w:val="20"/>
        </w:rPr>
        <w:t>un</w:t>
      </w:r>
      <w:r w:rsidRPr="008C601A">
        <w:rPr>
          <w:rFonts w:ascii="Open Sans" w:hAnsi="Open Sans" w:cs="Open Sans"/>
          <w:sz w:val="20"/>
          <w:szCs w:val="20"/>
        </w:rPr>
        <w:t xml:space="preserve"> différentiel </w:t>
      </w:r>
      <w:r w:rsidR="002F4E26" w:rsidRPr="008C601A">
        <w:rPr>
          <w:rFonts w:ascii="Open Sans" w:hAnsi="Open Sans" w:cs="Open Sans"/>
          <w:sz w:val="20"/>
          <w:szCs w:val="20"/>
        </w:rPr>
        <w:t xml:space="preserve">de rémunération annuelle de 19 % au détriment des femmes, hors </w:t>
      </w:r>
      <w:r w:rsidR="003315E4" w:rsidRPr="008C601A">
        <w:rPr>
          <w:rFonts w:ascii="Open Sans" w:hAnsi="Open Sans" w:cs="Open Sans"/>
          <w:sz w:val="20"/>
          <w:szCs w:val="20"/>
        </w:rPr>
        <w:t>impact</w:t>
      </w:r>
      <w:r w:rsidR="002F4E26" w:rsidRPr="008C601A">
        <w:rPr>
          <w:rFonts w:ascii="Open Sans" w:hAnsi="Open Sans" w:cs="Open Sans"/>
          <w:sz w:val="20"/>
          <w:szCs w:val="20"/>
        </w:rPr>
        <w:t xml:space="preserve"> du temps partiel. </w:t>
      </w:r>
    </w:p>
    <w:p w:rsidR="002F4E26" w:rsidRPr="008C601A" w:rsidRDefault="002F4E26" w:rsidP="00FD7282">
      <w:pPr>
        <w:jc w:val="both"/>
        <w:rPr>
          <w:rFonts w:ascii="Open Sans" w:hAnsi="Open Sans" w:cs="Open Sans"/>
          <w:sz w:val="20"/>
          <w:szCs w:val="20"/>
        </w:rPr>
      </w:pPr>
      <w:r w:rsidRPr="008C601A">
        <w:rPr>
          <w:rFonts w:ascii="Open Sans" w:hAnsi="Open Sans" w:cs="Open Sans"/>
          <w:sz w:val="20"/>
          <w:szCs w:val="20"/>
        </w:rPr>
        <w:t>Des écarts très significatifs se retrouvent entre femmes et hommes, pour une même catégorie sociale :</w:t>
      </w:r>
    </w:p>
    <w:tbl>
      <w:tblPr>
        <w:tblW w:w="6815" w:type="dxa"/>
        <w:tblInd w:w="1204" w:type="dxa"/>
        <w:tblCellMar>
          <w:left w:w="70" w:type="dxa"/>
          <w:right w:w="70" w:type="dxa"/>
        </w:tblCellMar>
        <w:tblLook w:val="04A0"/>
      </w:tblPr>
      <w:tblGrid>
        <w:gridCol w:w="2409"/>
        <w:gridCol w:w="1200"/>
        <w:gridCol w:w="1200"/>
        <w:gridCol w:w="1003"/>
        <w:gridCol w:w="1003"/>
      </w:tblGrid>
      <w:tr w:rsidR="001808E5" w:rsidRPr="008C601A" w:rsidTr="002A7BA4">
        <w:trPr>
          <w:trHeight w:val="227"/>
        </w:trPr>
        <w:tc>
          <w:tcPr>
            <w:tcW w:w="2409" w:type="dxa"/>
            <w:tcBorders>
              <w:top w:val="nil"/>
              <w:left w:val="nil"/>
              <w:bottom w:val="nil"/>
              <w:right w:val="nil"/>
            </w:tcBorders>
            <w:shd w:val="clear" w:color="auto" w:fill="auto"/>
            <w:noWrap/>
            <w:vAlign w:val="center"/>
            <w:hideMark/>
          </w:tcPr>
          <w:p w:rsidR="001808E5" w:rsidRPr="008C601A" w:rsidRDefault="001808E5" w:rsidP="002A7BA4">
            <w:pPr>
              <w:jc w:val="center"/>
              <w:rPr>
                <w:rFonts w:ascii="Open Sans" w:hAnsi="Open Sans" w:cs="Open Sans"/>
                <w:i/>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8E5" w:rsidRPr="008C601A" w:rsidRDefault="001808E5" w:rsidP="002A7BA4">
            <w:pPr>
              <w:jc w:val="center"/>
              <w:rPr>
                <w:rFonts w:ascii="Open Sans" w:hAnsi="Open Sans" w:cs="Open Sans"/>
                <w:b/>
                <w:bCs/>
                <w:i/>
                <w:sz w:val="16"/>
                <w:szCs w:val="16"/>
              </w:rPr>
            </w:pPr>
            <w:r w:rsidRPr="008C601A">
              <w:rPr>
                <w:rFonts w:ascii="Open Sans" w:hAnsi="Open Sans" w:cs="Open Sans"/>
                <w:b/>
                <w:bCs/>
                <w:i/>
                <w:sz w:val="16"/>
                <w:szCs w:val="16"/>
              </w:rPr>
              <w:t>Femmes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808E5" w:rsidRPr="008C601A" w:rsidRDefault="001808E5" w:rsidP="002A7BA4">
            <w:pPr>
              <w:jc w:val="center"/>
              <w:rPr>
                <w:rFonts w:ascii="Open Sans" w:hAnsi="Open Sans" w:cs="Open Sans"/>
                <w:b/>
                <w:bCs/>
                <w:i/>
                <w:sz w:val="16"/>
                <w:szCs w:val="16"/>
              </w:rPr>
            </w:pPr>
            <w:r w:rsidRPr="008C601A">
              <w:rPr>
                <w:rFonts w:ascii="Open Sans" w:hAnsi="Open Sans" w:cs="Open Sans"/>
                <w:b/>
                <w:bCs/>
                <w:i/>
                <w:sz w:val="16"/>
                <w:szCs w:val="16"/>
              </w:rPr>
              <w:t>Hommes</w:t>
            </w:r>
          </w:p>
        </w:tc>
        <w:tc>
          <w:tcPr>
            <w:tcW w:w="1003" w:type="dxa"/>
            <w:tcBorders>
              <w:top w:val="single" w:sz="4" w:space="0" w:color="auto"/>
              <w:left w:val="nil"/>
              <w:bottom w:val="single" w:sz="4" w:space="0" w:color="auto"/>
              <w:right w:val="single" w:sz="4" w:space="0" w:color="auto"/>
            </w:tcBorders>
            <w:vAlign w:val="center"/>
          </w:tcPr>
          <w:p w:rsidR="001808E5" w:rsidRPr="008C601A" w:rsidRDefault="001808E5" w:rsidP="002A7BA4">
            <w:pPr>
              <w:jc w:val="center"/>
              <w:rPr>
                <w:rFonts w:ascii="Open Sans" w:hAnsi="Open Sans" w:cs="Open Sans"/>
                <w:b/>
                <w:bCs/>
                <w:i/>
                <w:sz w:val="16"/>
                <w:szCs w:val="16"/>
              </w:rPr>
            </w:pPr>
            <w:r w:rsidRPr="008C601A">
              <w:rPr>
                <w:rFonts w:ascii="Open Sans" w:hAnsi="Open Sans" w:cs="Open Sans"/>
                <w:b/>
                <w:bCs/>
                <w:i/>
                <w:sz w:val="16"/>
                <w:szCs w:val="16"/>
              </w:rPr>
              <w:t>Moyenne</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8E5" w:rsidRPr="008C601A" w:rsidRDefault="001808E5" w:rsidP="002A7BA4">
            <w:pPr>
              <w:jc w:val="center"/>
              <w:rPr>
                <w:rFonts w:ascii="Open Sans" w:hAnsi="Open Sans" w:cs="Open Sans"/>
                <w:b/>
                <w:bCs/>
                <w:i/>
                <w:sz w:val="16"/>
                <w:szCs w:val="16"/>
              </w:rPr>
            </w:pPr>
            <w:r w:rsidRPr="008C601A">
              <w:rPr>
                <w:rFonts w:ascii="Open Sans" w:hAnsi="Open Sans" w:cs="Open Sans"/>
                <w:b/>
                <w:bCs/>
                <w:i/>
                <w:sz w:val="16"/>
                <w:szCs w:val="16"/>
              </w:rPr>
              <w:t>Indice F/H</w:t>
            </w:r>
          </w:p>
        </w:tc>
      </w:tr>
      <w:tr w:rsidR="001808E5" w:rsidRPr="008C601A" w:rsidTr="002A7BA4">
        <w:trPr>
          <w:trHeight w:val="227"/>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E5" w:rsidRPr="008C601A" w:rsidRDefault="001808E5" w:rsidP="002A7BA4">
            <w:pPr>
              <w:jc w:val="center"/>
              <w:rPr>
                <w:rFonts w:ascii="Open Sans" w:hAnsi="Open Sans" w:cs="Open Sans"/>
                <w:bCs/>
                <w:i/>
                <w:sz w:val="16"/>
                <w:szCs w:val="16"/>
              </w:rPr>
            </w:pPr>
            <w:r w:rsidRPr="008C601A">
              <w:rPr>
                <w:rFonts w:ascii="Open Sans" w:hAnsi="Open Sans" w:cs="Open Sans"/>
                <w:bCs/>
                <w:i/>
                <w:sz w:val="16"/>
                <w:szCs w:val="16"/>
              </w:rPr>
              <w:t xml:space="preserve">Cadres et professions </w:t>
            </w:r>
            <w:proofErr w:type="spellStart"/>
            <w:r w:rsidRPr="008C601A">
              <w:rPr>
                <w:rFonts w:ascii="Open Sans" w:hAnsi="Open Sans" w:cs="Open Sans"/>
                <w:bCs/>
                <w:i/>
                <w:sz w:val="16"/>
                <w:szCs w:val="16"/>
              </w:rPr>
              <w:t>intell</w:t>
            </w:r>
            <w:proofErr w:type="spellEnd"/>
            <w:r w:rsidRPr="008C601A">
              <w:rPr>
                <w:rFonts w:ascii="Open Sans" w:hAnsi="Open Sans" w:cs="Open Sans"/>
                <w:bCs/>
                <w:i/>
                <w:sz w:val="16"/>
                <w:szCs w:val="16"/>
              </w:rPr>
              <w:t>. sup.</w:t>
            </w:r>
          </w:p>
        </w:tc>
        <w:tc>
          <w:tcPr>
            <w:tcW w:w="1200" w:type="dxa"/>
            <w:tcBorders>
              <w:top w:val="nil"/>
              <w:left w:val="nil"/>
              <w:bottom w:val="single" w:sz="4" w:space="0" w:color="auto"/>
              <w:right w:val="single" w:sz="4" w:space="0" w:color="auto"/>
            </w:tcBorders>
            <w:shd w:val="clear" w:color="auto" w:fill="auto"/>
            <w:noWrap/>
            <w:vAlign w:val="center"/>
            <w:hideMark/>
          </w:tcPr>
          <w:p w:rsidR="001808E5" w:rsidRPr="008C601A" w:rsidRDefault="00165F11" w:rsidP="002A7BA4">
            <w:pPr>
              <w:jc w:val="center"/>
              <w:rPr>
                <w:rFonts w:ascii="Open Sans" w:hAnsi="Open Sans" w:cs="Open Sans"/>
                <w:bCs/>
                <w:i/>
                <w:sz w:val="16"/>
                <w:szCs w:val="16"/>
              </w:rPr>
            </w:pPr>
            <w:r w:rsidRPr="008C601A">
              <w:rPr>
                <w:rFonts w:ascii="Open Sans" w:hAnsi="Open Sans" w:cs="Open Sans"/>
                <w:bCs/>
                <w:i/>
                <w:sz w:val="16"/>
                <w:szCs w:val="16"/>
              </w:rPr>
              <w:t>32 273</w:t>
            </w:r>
            <w:r w:rsidR="001808E5" w:rsidRPr="008C601A">
              <w:rPr>
                <w:rFonts w:ascii="Open Sans" w:hAnsi="Open Sans" w:cs="Open Sans"/>
                <w:bCs/>
                <w:i/>
                <w:sz w:val="16"/>
                <w:szCs w:val="16"/>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1808E5" w:rsidRPr="008C601A" w:rsidRDefault="00165F11" w:rsidP="002A7BA4">
            <w:pPr>
              <w:jc w:val="center"/>
              <w:rPr>
                <w:rFonts w:ascii="Open Sans" w:hAnsi="Open Sans" w:cs="Open Sans"/>
                <w:bCs/>
                <w:i/>
                <w:sz w:val="16"/>
                <w:szCs w:val="16"/>
              </w:rPr>
            </w:pPr>
            <w:r w:rsidRPr="008C601A">
              <w:rPr>
                <w:rFonts w:ascii="Open Sans" w:hAnsi="Open Sans" w:cs="Open Sans"/>
                <w:bCs/>
                <w:i/>
                <w:sz w:val="16"/>
                <w:szCs w:val="16"/>
              </w:rPr>
              <w:t>37 946</w:t>
            </w:r>
            <w:r w:rsidR="001808E5" w:rsidRPr="008C601A">
              <w:rPr>
                <w:rFonts w:ascii="Open Sans" w:hAnsi="Open Sans" w:cs="Open Sans"/>
                <w:bCs/>
                <w:i/>
                <w:sz w:val="16"/>
                <w:szCs w:val="16"/>
              </w:rPr>
              <w:t xml:space="preserve"> €</w:t>
            </w:r>
          </w:p>
        </w:tc>
        <w:tc>
          <w:tcPr>
            <w:tcW w:w="1003" w:type="dxa"/>
            <w:tcBorders>
              <w:top w:val="single" w:sz="4" w:space="0" w:color="auto"/>
              <w:left w:val="nil"/>
              <w:bottom w:val="single" w:sz="4" w:space="0" w:color="auto"/>
              <w:right w:val="single" w:sz="4" w:space="0" w:color="auto"/>
            </w:tcBorders>
            <w:vAlign w:val="center"/>
          </w:tcPr>
          <w:p w:rsidR="001808E5" w:rsidRPr="008C601A" w:rsidRDefault="00165F11" w:rsidP="002A7BA4">
            <w:pPr>
              <w:jc w:val="center"/>
              <w:rPr>
                <w:rFonts w:ascii="Open Sans" w:hAnsi="Open Sans" w:cs="Open Sans"/>
                <w:bCs/>
                <w:i/>
                <w:sz w:val="16"/>
                <w:szCs w:val="16"/>
              </w:rPr>
            </w:pPr>
            <w:r w:rsidRPr="008C601A">
              <w:rPr>
                <w:rFonts w:ascii="Open Sans" w:hAnsi="Open Sans" w:cs="Open Sans"/>
                <w:bCs/>
                <w:i/>
                <w:sz w:val="16"/>
                <w:szCs w:val="16"/>
              </w:rPr>
              <w:t>35 901</w:t>
            </w:r>
            <w:r w:rsidR="001808E5" w:rsidRPr="008C601A">
              <w:rPr>
                <w:rFonts w:ascii="Open Sans" w:hAnsi="Open Sans" w:cs="Open Sans"/>
                <w:bCs/>
                <w:i/>
                <w:sz w:val="16"/>
                <w:szCs w:val="16"/>
              </w:rPr>
              <w:t xml:space="preserve">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1808E5" w:rsidRPr="008C601A" w:rsidRDefault="001808E5" w:rsidP="002A7BA4">
            <w:pPr>
              <w:jc w:val="center"/>
              <w:rPr>
                <w:rFonts w:ascii="Open Sans" w:hAnsi="Open Sans" w:cs="Open Sans"/>
                <w:bCs/>
                <w:i/>
                <w:sz w:val="16"/>
                <w:szCs w:val="16"/>
              </w:rPr>
            </w:pPr>
            <w:r w:rsidRPr="008C601A">
              <w:rPr>
                <w:rFonts w:ascii="Open Sans" w:hAnsi="Open Sans" w:cs="Open Sans"/>
                <w:bCs/>
                <w:i/>
                <w:sz w:val="16"/>
                <w:szCs w:val="16"/>
              </w:rPr>
              <w:t>8</w:t>
            </w:r>
            <w:r w:rsidR="00165F11" w:rsidRPr="008C601A">
              <w:rPr>
                <w:rFonts w:ascii="Open Sans" w:hAnsi="Open Sans" w:cs="Open Sans"/>
                <w:bCs/>
                <w:i/>
                <w:sz w:val="16"/>
                <w:szCs w:val="16"/>
              </w:rPr>
              <w:t>0</w:t>
            </w:r>
            <w:r w:rsidR="002A7BA4" w:rsidRPr="008C601A">
              <w:rPr>
                <w:rFonts w:ascii="Open Sans" w:hAnsi="Open Sans" w:cs="Open Sans"/>
                <w:bCs/>
                <w:i/>
                <w:sz w:val="16"/>
                <w:szCs w:val="16"/>
              </w:rPr>
              <w:t>,00 %</w:t>
            </w:r>
          </w:p>
        </w:tc>
      </w:tr>
      <w:tr w:rsidR="001808E5" w:rsidRPr="008C601A" w:rsidTr="002A7BA4">
        <w:trPr>
          <w:trHeight w:val="227"/>
        </w:trPr>
        <w:tc>
          <w:tcPr>
            <w:tcW w:w="2409" w:type="dxa"/>
            <w:tcBorders>
              <w:top w:val="nil"/>
              <w:left w:val="single" w:sz="4" w:space="0" w:color="auto"/>
              <w:bottom w:val="single" w:sz="4" w:space="0" w:color="auto"/>
              <w:right w:val="single" w:sz="4" w:space="0" w:color="auto"/>
            </w:tcBorders>
            <w:shd w:val="clear" w:color="auto" w:fill="auto"/>
            <w:vAlign w:val="center"/>
            <w:hideMark/>
          </w:tcPr>
          <w:p w:rsidR="001808E5" w:rsidRPr="008C601A" w:rsidRDefault="001808E5" w:rsidP="002A7BA4">
            <w:pPr>
              <w:jc w:val="center"/>
              <w:rPr>
                <w:rFonts w:ascii="Open Sans" w:hAnsi="Open Sans" w:cs="Open Sans"/>
                <w:bCs/>
                <w:i/>
                <w:sz w:val="16"/>
                <w:szCs w:val="16"/>
              </w:rPr>
            </w:pPr>
            <w:r w:rsidRPr="008C601A">
              <w:rPr>
                <w:rFonts w:ascii="Open Sans" w:hAnsi="Open Sans" w:cs="Open Sans"/>
                <w:bCs/>
                <w:i/>
                <w:sz w:val="16"/>
                <w:szCs w:val="16"/>
              </w:rPr>
              <w:t>Professions intermédiaires</w:t>
            </w:r>
          </w:p>
        </w:tc>
        <w:tc>
          <w:tcPr>
            <w:tcW w:w="1200" w:type="dxa"/>
            <w:tcBorders>
              <w:top w:val="nil"/>
              <w:left w:val="nil"/>
              <w:bottom w:val="single" w:sz="4" w:space="0" w:color="auto"/>
              <w:right w:val="single" w:sz="4" w:space="0" w:color="auto"/>
            </w:tcBorders>
            <w:shd w:val="clear" w:color="auto" w:fill="auto"/>
            <w:noWrap/>
            <w:vAlign w:val="center"/>
            <w:hideMark/>
          </w:tcPr>
          <w:p w:rsidR="001808E5" w:rsidRPr="008C601A" w:rsidRDefault="00165F11" w:rsidP="002A7BA4">
            <w:pPr>
              <w:jc w:val="center"/>
              <w:rPr>
                <w:rFonts w:ascii="Open Sans" w:hAnsi="Open Sans" w:cs="Open Sans"/>
                <w:bCs/>
                <w:i/>
                <w:sz w:val="16"/>
                <w:szCs w:val="16"/>
              </w:rPr>
            </w:pPr>
            <w:r w:rsidRPr="008C601A">
              <w:rPr>
                <w:rFonts w:ascii="Open Sans" w:hAnsi="Open Sans" w:cs="Open Sans"/>
                <w:bCs/>
                <w:i/>
                <w:sz w:val="16"/>
                <w:szCs w:val="16"/>
              </w:rPr>
              <w:t>23 461</w:t>
            </w:r>
            <w:r w:rsidR="001808E5" w:rsidRPr="008C601A">
              <w:rPr>
                <w:rFonts w:ascii="Open Sans" w:hAnsi="Open Sans" w:cs="Open Sans"/>
                <w:bCs/>
                <w:i/>
                <w:sz w:val="16"/>
                <w:szCs w:val="16"/>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1808E5" w:rsidRPr="008C601A" w:rsidRDefault="001808E5" w:rsidP="002A7BA4">
            <w:pPr>
              <w:jc w:val="center"/>
              <w:rPr>
                <w:rFonts w:ascii="Open Sans" w:hAnsi="Open Sans" w:cs="Open Sans"/>
                <w:bCs/>
                <w:i/>
                <w:sz w:val="16"/>
                <w:szCs w:val="16"/>
              </w:rPr>
            </w:pPr>
            <w:r w:rsidRPr="008C601A">
              <w:rPr>
                <w:rFonts w:ascii="Open Sans" w:hAnsi="Open Sans" w:cs="Open Sans"/>
                <w:bCs/>
                <w:i/>
                <w:sz w:val="16"/>
                <w:szCs w:val="16"/>
              </w:rPr>
              <w:t xml:space="preserve">24 </w:t>
            </w:r>
            <w:r w:rsidR="00165F11" w:rsidRPr="008C601A">
              <w:rPr>
                <w:rFonts w:ascii="Open Sans" w:hAnsi="Open Sans" w:cs="Open Sans"/>
                <w:bCs/>
                <w:i/>
                <w:sz w:val="16"/>
                <w:szCs w:val="16"/>
              </w:rPr>
              <w:t>879</w:t>
            </w:r>
            <w:r w:rsidRPr="008C601A">
              <w:rPr>
                <w:rFonts w:ascii="Open Sans" w:hAnsi="Open Sans" w:cs="Open Sans"/>
                <w:bCs/>
                <w:i/>
                <w:sz w:val="16"/>
                <w:szCs w:val="16"/>
              </w:rPr>
              <w:t xml:space="preserve"> €</w:t>
            </w:r>
          </w:p>
        </w:tc>
        <w:tc>
          <w:tcPr>
            <w:tcW w:w="1003" w:type="dxa"/>
            <w:tcBorders>
              <w:top w:val="single" w:sz="4" w:space="0" w:color="auto"/>
              <w:left w:val="nil"/>
              <w:bottom w:val="single" w:sz="4" w:space="0" w:color="auto"/>
              <w:right w:val="single" w:sz="4" w:space="0" w:color="auto"/>
            </w:tcBorders>
            <w:vAlign w:val="center"/>
          </w:tcPr>
          <w:p w:rsidR="001808E5" w:rsidRPr="008C601A" w:rsidRDefault="001808E5" w:rsidP="002A7BA4">
            <w:pPr>
              <w:jc w:val="center"/>
              <w:rPr>
                <w:rFonts w:ascii="Open Sans" w:hAnsi="Open Sans" w:cs="Open Sans"/>
                <w:bCs/>
                <w:i/>
                <w:sz w:val="16"/>
                <w:szCs w:val="16"/>
              </w:rPr>
            </w:pPr>
            <w:r w:rsidRPr="008C601A">
              <w:rPr>
                <w:rFonts w:ascii="Open Sans" w:hAnsi="Open Sans" w:cs="Open Sans"/>
                <w:bCs/>
                <w:i/>
                <w:sz w:val="16"/>
                <w:szCs w:val="16"/>
              </w:rPr>
              <w:t xml:space="preserve">24 </w:t>
            </w:r>
            <w:r w:rsidR="00165F11" w:rsidRPr="008C601A">
              <w:rPr>
                <w:rFonts w:ascii="Open Sans" w:hAnsi="Open Sans" w:cs="Open Sans"/>
                <w:bCs/>
                <w:i/>
                <w:sz w:val="16"/>
                <w:szCs w:val="16"/>
              </w:rPr>
              <w:t>350</w:t>
            </w:r>
            <w:r w:rsidRPr="008C601A">
              <w:rPr>
                <w:rFonts w:ascii="Open Sans" w:hAnsi="Open Sans" w:cs="Open Sans"/>
                <w:bCs/>
                <w:i/>
                <w:sz w:val="16"/>
                <w:szCs w:val="16"/>
              </w:rPr>
              <w:t xml:space="preserve">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1808E5" w:rsidRPr="008C601A" w:rsidRDefault="001808E5" w:rsidP="002A7BA4">
            <w:pPr>
              <w:jc w:val="center"/>
              <w:rPr>
                <w:rFonts w:ascii="Open Sans" w:hAnsi="Open Sans" w:cs="Open Sans"/>
                <w:bCs/>
                <w:i/>
                <w:sz w:val="16"/>
                <w:szCs w:val="16"/>
              </w:rPr>
            </w:pPr>
            <w:r w:rsidRPr="008C601A">
              <w:rPr>
                <w:rFonts w:ascii="Open Sans" w:hAnsi="Open Sans" w:cs="Open Sans"/>
                <w:bCs/>
                <w:i/>
                <w:sz w:val="16"/>
                <w:szCs w:val="16"/>
              </w:rPr>
              <w:t>9</w:t>
            </w:r>
            <w:r w:rsidR="00165F11" w:rsidRPr="008C601A">
              <w:rPr>
                <w:rFonts w:ascii="Open Sans" w:hAnsi="Open Sans" w:cs="Open Sans"/>
                <w:bCs/>
                <w:i/>
                <w:sz w:val="16"/>
                <w:szCs w:val="16"/>
              </w:rPr>
              <w:t>4</w:t>
            </w:r>
            <w:r w:rsidRPr="008C601A">
              <w:rPr>
                <w:rFonts w:ascii="Open Sans" w:hAnsi="Open Sans" w:cs="Open Sans"/>
                <w:bCs/>
                <w:i/>
                <w:sz w:val="16"/>
                <w:szCs w:val="16"/>
              </w:rPr>
              <w:t>,</w:t>
            </w:r>
            <w:r w:rsidR="00165F11" w:rsidRPr="008C601A">
              <w:rPr>
                <w:rFonts w:ascii="Open Sans" w:hAnsi="Open Sans" w:cs="Open Sans"/>
                <w:bCs/>
                <w:i/>
                <w:sz w:val="16"/>
                <w:szCs w:val="16"/>
              </w:rPr>
              <w:t>30</w:t>
            </w:r>
            <w:r w:rsidR="002A7BA4" w:rsidRPr="008C601A">
              <w:rPr>
                <w:rFonts w:ascii="Open Sans" w:hAnsi="Open Sans" w:cs="Open Sans"/>
                <w:bCs/>
                <w:i/>
                <w:sz w:val="16"/>
                <w:szCs w:val="16"/>
              </w:rPr>
              <w:t xml:space="preserve"> %</w:t>
            </w:r>
          </w:p>
        </w:tc>
      </w:tr>
      <w:tr w:rsidR="001808E5" w:rsidRPr="008C601A" w:rsidTr="002A7BA4">
        <w:trPr>
          <w:trHeight w:val="227"/>
        </w:trPr>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1808E5" w:rsidRPr="008C601A" w:rsidRDefault="001808E5" w:rsidP="002A7BA4">
            <w:pPr>
              <w:jc w:val="center"/>
              <w:rPr>
                <w:rFonts w:ascii="Open Sans" w:hAnsi="Open Sans" w:cs="Open Sans"/>
                <w:bCs/>
                <w:i/>
                <w:sz w:val="16"/>
                <w:szCs w:val="16"/>
              </w:rPr>
            </w:pPr>
            <w:r w:rsidRPr="008C601A">
              <w:rPr>
                <w:rFonts w:ascii="Open Sans" w:hAnsi="Open Sans" w:cs="Open Sans"/>
                <w:bCs/>
                <w:i/>
                <w:sz w:val="16"/>
                <w:szCs w:val="16"/>
              </w:rPr>
              <w:t>Employés</w:t>
            </w:r>
          </w:p>
        </w:tc>
        <w:tc>
          <w:tcPr>
            <w:tcW w:w="1200" w:type="dxa"/>
            <w:tcBorders>
              <w:top w:val="nil"/>
              <w:left w:val="nil"/>
              <w:bottom w:val="single" w:sz="4" w:space="0" w:color="auto"/>
              <w:right w:val="single" w:sz="4" w:space="0" w:color="auto"/>
            </w:tcBorders>
            <w:shd w:val="clear" w:color="auto" w:fill="auto"/>
            <w:noWrap/>
            <w:vAlign w:val="center"/>
            <w:hideMark/>
          </w:tcPr>
          <w:p w:rsidR="001808E5" w:rsidRPr="008C601A" w:rsidRDefault="002A7BA4" w:rsidP="002A7BA4">
            <w:pPr>
              <w:jc w:val="center"/>
              <w:rPr>
                <w:rFonts w:ascii="Open Sans" w:hAnsi="Open Sans" w:cs="Open Sans"/>
                <w:bCs/>
                <w:i/>
                <w:sz w:val="16"/>
                <w:szCs w:val="16"/>
              </w:rPr>
            </w:pPr>
            <w:r w:rsidRPr="008C601A">
              <w:rPr>
                <w:rFonts w:ascii="Open Sans" w:hAnsi="Open Sans" w:cs="Open Sans"/>
                <w:bCs/>
                <w:i/>
                <w:sz w:val="16"/>
                <w:szCs w:val="16"/>
              </w:rPr>
              <w:t>20 675</w:t>
            </w:r>
            <w:r w:rsidR="001808E5" w:rsidRPr="008C601A">
              <w:rPr>
                <w:rFonts w:ascii="Open Sans" w:hAnsi="Open Sans" w:cs="Open Sans"/>
                <w:bCs/>
                <w:i/>
                <w:sz w:val="16"/>
                <w:szCs w:val="16"/>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1808E5" w:rsidRPr="008C601A" w:rsidRDefault="001808E5" w:rsidP="002A7BA4">
            <w:pPr>
              <w:jc w:val="center"/>
              <w:rPr>
                <w:rFonts w:ascii="Open Sans" w:hAnsi="Open Sans" w:cs="Open Sans"/>
                <w:bCs/>
                <w:i/>
                <w:sz w:val="16"/>
                <w:szCs w:val="16"/>
              </w:rPr>
            </w:pPr>
            <w:r w:rsidRPr="008C601A">
              <w:rPr>
                <w:rFonts w:ascii="Open Sans" w:hAnsi="Open Sans" w:cs="Open Sans"/>
                <w:bCs/>
                <w:i/>
                <w:sz w:val="16"/>
                <w:szCs w:val="16"/>
              </w:rPr>
              <w:t xml:space="preserve">23 </w:t>
            </w:r>
            <w:r w:rsidR="002A7BA4" w:rsidRPr="008C601A">
              <w:rPr>
                <w:rFonts w:ascii="Open Sans" w:hAnsi="Open Sans" w:cs="Open Sans"/>
                <w:bCs/>
                <w:i/>
                <w:sz w:val="16"/>
                <w:szCs w:val="16"/>
              </w:rPr>
              <w:t>010</w:t>
            </w:r>
            <w:r w:rsidRPr="008C601A">
              <w:rPr>
                <w:rFonts w:ascii="Open Sans" w:hAnsi="Open Sans" w:cs="Open Sans"/>
                <w:bCs/>
                <w:i/>
                <w:sz w:val="16"/>
                <w:szCs w:val="16"/>
              </w:rPr>
              <w:t xml:space="preserve"> €</w:t>
            </w:r>
          </w:p>
        </w:tc>
        <w:tc>
          <w:tcPr>
            <w:tcW w:w="1003" w:type="dxa"/>
            <w:tcBorders>
              <w:top w:val="single" w:sz="4" w:space="0" w:color="auto"/>
              <w:left w:val="nil"/>
              <w:bottom w:val="single" w:sz="4" w:space="0" w:color="auto"/>
              <w:right w:val="single" w:sz="4" w:space="0" w:color="auto"/>
            </w:tcBorders>
            <w:vAlign w:val="center"/>
          </w:tcPr>
          <w:p w:rsidR="001808E5" w:rsidRPr="008C601A" w:rsidRDefault="001808E5" w:rsidP="002A7BA4">
            <w:pPr>
              <w:jc w:val="center"/>
              <w:rPr>
                <w:rFonts w:ascii="Open Sans" w:hAnsi="Open Sans" w:cs="Open Sans"/>
                <w:bCs/>
                <w:i/>
                <w:sz w:val="16"/>
                <w:szCs w:val="16"/>
              </w:rPr>
            </w:pPr>
            <w:r w:rsidRPr="008C601A">
              <w:rPr>
                <w:rFonts w:ascii="Open Sans" w:hAnsi="Open Sans" w:cs="Open Sans"/>
                <w:bCs/>
                <w:i/>
                <w:sz w:val="16"/>
                <w:szCs w:val="16"/>
              </w:rPr>
              <w:t>2</w:t>
            </w:r>
            <w:r w:rsidR="002A7BA4" w:rsidRPr="008C601A">
              <w:rPr>
                <w:rFonts w:ascii="Open Sans" w:hAnsi="Open Sans" w:cs="Open Sans"/>
                <w:bCs/>
                <w:i/>
                <w:sz w:val="16"/>
                <w:szCs w:val="16"/>
              </w:rPr>
              <w:t>1</w:t>
            </w:r>
            <w:r w:rsidRPr="008C601A">
              <w:rPr>
                <w:rFonts w:ascii="Open Sans" w:hAnsi="Open Sans" w:cs="Open Sans"/>
                <w:bCs/>
                <w:i/>
                <w:sz w:val="16"/>
                <w:szCs w:val="16"/>
              </w:rPr>
              <w:t xml:space="preserve"> </w:t>
            </w:r>
            <w:r w:rsidR="002A7BA4" w:rsidRPr="008C601A">
              <w:rPr>
                <w:rFonts w:ascii="Open Sans" w:hAnsi="Open Sans" w:cs="Open Sans"/>
                <w:bCs/>
                <w:i/>
                <w:sz w:val="16"/>
                <w:szCs w:val="16"/>
              </w:rPr>
              <w:t>007</w:t>
            </w:r>
            <w:r w:rsidRPr="008C601A">
              <w:rPr>
                <w:rFonts w:ascii="Open Sans" w:hAnsi="Open Sans" w:cs="Open Sans"/>
                <w:bCs/>
                <w:i/>
                <w:sz w:val="16"/>
                <w:szCs w:val="16"/>
              </w:rPr>
              <w:t xml:space="preserve"> €</w:t>
            </w:r>
          </w:p>
        </w:tc>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1808E5" w:rsidRPr="008C601A" w:rsidRDefault="002A7BA4" w:rsidP="002A7BA4">
            <w:pPr>
              <w:jc w:val="center"/>
              <w:rPr>
                <w:rFonts w:ascii="Open Sans" w:hAnsi="Open Sans" w:cs="Open Sans"/>
                <w:bCs/>
                <w:i/>
                <w:sz w:val="16"/>
                <w:szCs w:val="16"/>
              </w:rPr>
            </w:pPr>
            <w:r w:rsidRPr="008C601A">
              <w:rPr>
                <w:rFonts w:ascii="Open Sans" w:hAnsi="Open Sans" w:cs="Open Sans"/>
                <w:bCs/>
                <w:i/>
                <w:sz w:val="16"/>
                <w:szCs w:val="16"/>
              </w:rPr>
              <w:t>89,90 %</w:t>
            </w:r>
          </w:p>
        </w:tc>
      </w:tr>
      <w:tr w:rsidR="001808E5" w:rsidRPr="008C601A" w:rsidTr="002A7BA4">
        <w:trPr>
          <w:trHeight w:val="227"/>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8E5" w:rsidRPr="008C601A" w:rsidRDefault="001808E5" w:rsidP="002A7BA4">
            <w:pPr>
              <w:jc w:val="center"/>
              <w:rPr>
                <w:rFonts w:ascii="Open Sans" w:hAnsi="Open Sans" w:cs="Open Sans"/>
                <w:bCs/>
                <w:i/>
                <w:sz w:val="16"/>
                <w:szCs w:val="16"/>
              </w:rPr>
            </w:pPr>
            <w:r w:rsidRPr="008C601A">
              <w:rPr>
                <w:rFonts w:ascii="Open Sans" w:hAnsi="Open Sans" w:cs="Open Sans"/>
                <w:bCs/>
                <w:i/>
                <w:sz w:val="16"/>
                <w:szCs w:val="16"/>
              </w:rPr>
              <w:t>Ouvriers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808E5" w:rsidRPr="008C601A" w:rsidRDefault="001808E5" w:rsidP="002A7BA4">
            <w:pPr>
              <w:jc w:val="center"/>
              <w:rPr>
                <w:rFonts w:ascii="Open Sans" w:hAnsi="Open Sans" w:cs="Open Sans"/>
                <w:bCs/>
                <w:i/>
                <w:sz w:val="16"/>
                <w:szCs w:val="16"/>
              </w:rPr>
            </w:pPr>
            <w:r w:rsidRPr="008C601A">
              <w:rPr>
                <w:rFonts w:ascii="Open Sans" w:hAnsi="Open Sans" w:cs="Open Sans"/>
                <w:bCs/>
                <w:i/>
                <w:sz w:val="16"/>
                <w:szCs w:val="16"/>
              </w:rPr>
              <w:t xml:space="preserve">18 </w:t>
            </w:r>
            <w:r w:rsidR="002A7BA4" w:rsidRPr="008C601A">
              <w:rPr>
                <w:rFonts w:ascii="Open Sans" w:hAnsi="Open Sans" w:cs="Open Sans"/>
                <w:bCs/>
                <w:i/>
                <w:sz w:val="16"/>
                <w:szCs w:val="16"/>
              </w:rPr>
              <w:t>295</w:t>
            </w:r>
            <w:r w:rsidRPr="008C601A">
              <w:rPr>
                <w:rFonts w:ascii="Open Sans" w:hAnsi="Open Sans" w:cs="Open Sans"/>
                <w:bCs/>
                <w:i/>
                <w:sz w:val="16"/>
                <w:szCs w:val="16"/>
              </w:rPr>
              <w:t xml:space="preserve">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808E5" w:rsidRPr="008C601A" w:rsidRDefault="002A7BA4" w:rsidP="002A7BA4">
            <w:pPr>
              <w:jc w:val="center"/>
              <w:rPr>
                <w:rFonts w:ascii="Open Sans" w:hAnsi="Open Sans" w:cs="Open Sans"/>
                <w:bCs/>
                <w:i/>
                <w:sz w:val="16"/>
                <w:szCs w:val="16"/>
              </w:rPr>
            </w:pPr>
            <w:r w:rsidRPr="008C601A">
              <w:rPr>
                <w:rFonts w:ascii="Open Sans" w:hAnsi="Open Sans" w:cs="Open Sans"/>
                <w:bCs/>
                <w:i/>
                <w:sz w:val="16"/>
                <w:szCs w:val="16"/>
              </w:rPr>
              <w:t>22 924</w:t>
            </w:r>
            <w:r w:rsidR="001808E5" w:rsidRPr="008C601A">
              <w:rPr>
                <w:rFonts w:ascii="Open Sans" w:hAnsi="Open Sans" w:cs="Open Sans"/>
                <w:bCs/>
                <w:i/>
                <w:sz w:val="16"/>
                <w:szCs w:val="16"/>
              </w:rPr>
              <w:t xml:space="preserve"> €</w:t>
            </w:r>
          </w:p>
        </w:tc>
        <w:tc>
          <w:tcPr>
            <w:tcW w:w="1003" w:type="dxa"/>
            <w:tcBorders>
              <w:top w:val="single" w:sz="4" w:space="0" w:color="auto"/>
              <w:left w:val="nil"/>
              <w:bottom w:val="single" w:sz="4" w:space="0" w:color="auto"/>
              <w:right w:val="single" w:sz="4" w:space="0" w:color="auto"/>
            </w:tcBorders>
            <w:vAlign w:val="center"/>
          </w:tcPr>
          <w:p w:rsidR="001808E5" w:rsidRPr="008C601A" w:rsidRDefault="002A7BA4" w:rsidP="002A7BA4">
            <w:pPr>
              <w:jc w:val="center"/>
              <w:rPr>
                <w:rFonts w:ascii="Open Sans" w:hAnsi="Open Sans" w:cs="Open Sans"/>
                <w:bCs/>
                <w:i/>
                <w:sz w:val="16"/>
                <w:szCs w:val="16"/>
              </w:rPr>
            </w:pPr>
            <w:r w:rsidRPr="008C601A">
              <w:rPr>
                <w:rFonts w:ascii="Open Sans" w:hAnsi="Open Sans" w:cs="Open Sans"/>
                <w:bCs/>
                <w:i/>
                <w:sz w:val="16"/>
                <w:szCs w:val="16"/>
              </w:rPr>
              <w:t xml:space="preserve">21 840 </w:t>
            </w:r>
            <w:r w:rsidR="001808E5" w:rsidRPr="008C601A">
              <w:rPr>
                <w:rFonts w:ascii="Open Sans" w:hAnsi="Open Sans" w:cs="Open Sans"/>
                <w:bCs/>
                <w:i/>
                <w:sz w:val="16"/>
                <w:szCs w:val="16"/>
              </w:rPr>
              <w:t>€</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8E5" w:rsidRPr="008C601A" w:rsidRDefault="001808E5" w:rsidP="002A7BA4">
            <w:pPr>
              <w:jc w:val="center"/>
              <w:rPr>
                <w:rFonts w:ascii="Open Sans" w:hAnsi="Open Sans" w:cs="Open Sans"/>
                <w:bCs/>
                <w:i/>
                <w:sz w:val="16"/>
                <w:szCs w:val="16"/>
              </w:rPr>
            </w:pPr>
            <w:r w:rsidRPr="008C601A">
              <w:rPr>
                <w:rFonts w:ascii="Open Sans" w:hAnsi="Open Sans" w:cs="Open Sans"/>
                <w:bCs/>
                <w:i/>
                <w:sz w:val="16"/>
                <w:szCs w:val="16"/>
              </w:rPr>
              <w:t>73,</w:t>
            </w:r>
            <w:r w:rsidR="002A7BA4" w:rsidRPr="008C601A">
              <w:rPr>
                <w:rFonts w:ascii="Open Sans" w:hAnsi="Open Sans" w:cs="Open Sans"/>
                <w:bCs/>
                <w:i/>
                <w:sz w:val="16"/>
                <w:szCs w:val="16"/>
              </w:rPr>
              <w:t>80 %</w:t>
            </w:r>
          </w:p>
        </w:tc>
      </w:tr>
      <w:tr w:rsidR="001808E5" w:rsidRPr="008C601A" w:rsidTr="002A7BA4">
        <w:trPr>
          <w:trHeight w:val="227"/>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8E5" w:rsidRPr="008C601A" w:rsidRDefault="001808E5" w:rsidP="002A7BA4">
            <w:pPr>
              <w:jc w:val="center"/>
              <w:rPr>
                <w:rFonts w:ascii="Open Sans" w:hAnsi="Open Sans" w:cs="Open Sans"/>
                <w:b/>
                <w:bCs/>
                <w:i/>
                <w:sz w:val="16"/>
                <w:szCs w:val="16"/>
              </w:rPr>
            </w:pPr>
            <w:r w:rsidRPr="008C601A">
              <w:rPr>
                <w:rFonts w:ascii="Open Sans" w:hAnsi="Open Sans" w:cs="Open Sans"/>
                <w:b/>
                <w:bCs/>
                <w:i/>
                <w:sz w:val="16"/>
                <w:szCs w:val="16"/>
              </w:rPr>
              <w:t>Moyenne générale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808E5" w:rsidRPr="008C601A" w:rsidRDefault="002A7BA4" w:rsidP="002A7BA4">
            <w:pPr>
              <w:jc w:val="center"/>
              <w:rPr>
                <w:rFonts w:ascii="Open Sans" w:hAnsi="Open Sans" w:cs="Open Sans"/>
                <w:b/>
                <w:bCs/>
                <w:i/>
                <w:sz w:val="16"/>
                <w:szCs w:val="16"/>
              </w:rPr>
            </w:pPr>
            <w:r w:rsidRPr="008C601A">
              <w:rPr>
                <w:rFonts w:ascii="Open Sans" w:hAnsi="Open Sans" w:cs="Open Sans"/>
                <w:b/>
                <w:bCs/>
                <w:i/>
                <w:sz w:val="16"/>
                <w:szCs w:val="16"/>
              </w:rPr>
              <w:t>25 177</w:t>
            </w:r>
            <w:r w:rsidR="001808E5" w:rsidRPr="008C601A">
              <w:rPr>
                <w:rFonts w:ascii="Open Sans" w:hAnsi="Open Sans" w:cs="Open Sans"/>
                <w:b/>
                <w:bCs/>
                <w:i/>
                <w:sz w:val="16"/>
                <w:szCs w:val="16"/>
              </w:rPr>
              <w:t xml:space="preserve">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808E5" w:rsidRPr="008C601A" w:rsidRDefault="002A7BA4" w:rsidP="002A7BA4">
            <w:pPr>
              <w:jc w:val="center"/>
              <w:rPr>
                <w:rFonts w:ascii="Open Sans" w:hAnsi="Open Sans" w:cs="Open Sans"/>
                <w:b/>
                <w:bCs/>
                <w:i/>
                <w:sz w:val="16"/>
                <w:szCs w:val="16"/>
              </w:rPr>
            </w:pPr>
            <w:r w:rsidRPr="008C601A">
              <w:rPr>
                <w:rFonts w:ascii="Open Sans" w:hAnsi="Open Sans" w:cs="Open Sans"/>
                <w:b/>
                <w:bCs/>
                <w:i/>
                <w:sz w:val="16"/>
                <w:szCs w:val="16"/>
              </w:rPr>
              <w:t>31 094</w:t>
            </w:r>
            <w:r w:rsidR="001808E5" w:rsidRPr="008C601A">
              <w:rPr>
                <w:rFonts w:ascii="Open Sans" w:hAnsi="Open Sans" w:cs="Open Sans"/>
                <w:b/>
                <w:bCs/>
                <w:i/>
                <w:sz w:val="16"/>
                <w:szCs w:val="16"/>
              </w:rPr>
              <w:t xml:space="preserve"> €</w:t>
            </w:r>
          </w:p>
        </w:tc>
        <w:tc>
          <w:tcPr>
            <w:tcW w:w="1003" w:type="dxa"/>
            <w:tcBorders>
              <w:top w:val="single" w:sz="4" w:space="0" w:color="auto"/>
              <w:left w:val="nil"/>
              <w:bottom w:val="single" w:sz="4" w:space="0" w:color="auto"/>
              <w:right w:val="single" w:sz="4" w:space="0" w:color="auto"/>
            </w:tcBorders>
            <w:vAlign w:val="center"/>
          </w:tcPr>
          <w:p w:rsidR="001808E5" w:rsidRPr="008C601A" w:rsidRDefault="002A7BA4" w:rsidP="002A7BA4">
            <w:pPr>
              <w:jc w:val="center"/>
              <w:rPr>
                <w:rFonts w:ascii="Open Sans" w:hAnsi="Open Sans" w:cs="Open Sans"/>
                <w:b/>
                <w:bCs/>
                <w:i/>
                <w:sz w:val="16"/>
                <w:szCs w:val="16"/>
              </w:rPr>
            </w:pPr>
            <w:r w:rsidRPr="008C601A">
              <w:rPr>
                <w:rFonts w:ascii="Open Sans" w:hAnsi="Open Sans" w:cs="Open Sans"/>
                <w:b/>
                <w:bCs/>
                <w:i/>
                <w:sz w:val="16"/>
                <w:szCs w:val="16"/>
              </w:rPr>
              <w:t>28363</w:t>
            </w:r>
            <w:r w:rsidR="001808E5" w:rsidRPr="008C601A">
              <w:rPr>
                <w:rFonts w:ascii="Open Sans" w:hAnsi="Open Sans" w:cs="Open Sans"/>
                <w:b/>
                <w:bCs/>
                <w:i/>
                <w:sz w:val="16"/>
                <w:szCs w:val="16"/>
              </w:rPr>
              <w:t xml:space="preserve">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8E5" w:rsidRPr="008C601A" w:rsidRDefault="002A7BA4" w:rsidP="002A7BA4">
            <w:pPr>
              <w:jc w:val="center"/>
              <w:rPr>
                <w:rFonts w:ascii="Open Sans" w:hAnsi="Open Sans" w:cs="Open Sans"/>
                <w:b/>
                <w:bCs/>
                <w:i/>
                <w:sz w:val="16"/>
                <w:szCs w:val="16"/>
              </w:rPr>
            </w:pPr>
            <w:r w:rsidRPr="008C601A">
              <w:rPr>
                <w:rFonts w:ascii="Open Sans" w:hAnsi="Open Sans" w:cs="Open Sans"/>
                <w:b/>
                <w:bCs/>
                <w:i/>
                <w:sz w:val="16"/>
                <w:szCs w:val="16"/>
              </w:rPr>
              <w:t>81,00 %</w:t>
            </w:r>
          </w:p>
        </w:tc>
      </w:tr>
    </w:tbl>
    <w:p w:rsidR="002F4E26" w:rsidRPr="008C601A" w:rsidRDefault="002F4E26" w:rsidP="00FD7282">
      <w:pPr>
        <w:jc w:val="both"/>
        <w:rPr>
          <w:rFonts w:ascii="Open Sans" w:hAnsi="Open Sans" w:cs="Open Sans"/>
          <w:sz w:val="20"/>
          <w:szCs w:val="20"/>
        </w:rPr>
      </w:pPr>
    </w:p>
    <w:p w:rsidR="002F4E26" w:rsidRPr="008C601A" w:rsidRDefault="002F4E26" w:rsidP="00FD7282">
      <w:pPr>
        <w:jc w:val="both"/>
        <w:rPr>
          <w:rFonts w:ascii="Open Sans" w:hAnsi="Open Sans" w:cs="Open Sans"/>
          <w:sz w:val="20"/>
          <w:szCs w:val="20"/>
        </w:rPr>
      </w:pPr>
      <w:r w:rsidRPr="008C601A">
        <w:rPr>
          <w:rFonts w:ascii="Open Sans" w:hAnsi="Open Sans" w:cs="Open Sans"/>
          <w:sz w:val="20"/>
          <w:szCs w:val="20"/>
        </w:rPr>
        <w:t xml:space="preserve">Ces écarts s’affirment davantage </w:t>
      </w:r>
      <w:r w:rsidR="00B73508" w:rsidRPr="008C601A">
        <w:rPr>
          <w:rFonts w:ascii="Open Sans" w:hAnsi="Open Sans" w:cs="Open Sans"/>
          <w:sz w:val="20"/>
          <w:szCs w:val="20"/>
        </w:rPr>
        <w:t>entre salariés femmes et hommes</w:t>
      </w:r>
      <w:r w:rsidRPr="008C601A">
        <w:rPr>
          <w:rFonts w:ascii="Open Sans" w:hAnsi="Open Sans" w:cs="Open Sans"/>
          <w:sz w:val="20"/>
          <w:szCs w:val="20"/>
        </w:rPr>
        <w:t xml:space="preserve"> </w:t>
      </w:r>
      <w:r w:rsidR="00B73508" w:rsidRPr="008C601A">
        <w:rPr>
          <w:rFonts w:ascii="Open Sans" w:hAnsi="Open Sans" w:cs="Open Sans"/>
          <w:sz w:val="20"/>
          <w:szCs w:val="20"/>
        </w:rPr>
        <w:t>d</w:t>
      </w:r>
      <w:r w:rsidRPr="008C601A">
        <w:rPr>
          <w:rFonts w:ascii="Open Sans" w:hAnsi="Open Sans" w:cs="Open Sans"/>
          <w:sz w:val="20"/>
          <w:szCs w:val="20"/>
        </w:rPr>
        <w:t xml:space="preserve">es tranches d’âge </w:t>
      </w:r>
      <w:r w:rsidR="00B73508" w:rsidRPr="008C601A">
        <w:rPr>
          <w:rFonts w:ascii="Open Sans" w:hAnsi="Open Sans" w:cs="Open Sans"/>
          <w:sz w:val="20"/>
          <w:szCs w:val="20"/>
        </w:rPr>
        <w:t xml:space="preserve">les </w:t>
      </w:r>
      <w:r w:rsidRPr="008C601A">
        <w:rPr>
          <w:rFonts w:ascii="Open Sans" w:hAnsi="Open Sans" w:cs="Open Sans"/>
          <w:sz w:val="20"/>
          <w:szCs w:val="20"/>
        </w:rPr>
        <w:t>plus élevées.</w:t>
      </w:r>
    </w:p>
    <w:p w:rsidR="00631F2A" w:rsidRPr="008C601A" w:rsidRDefault="00631F2A" w:rsidP="00FD7282">
      <w:pPr>
        <w:jc w:val="both"/>
        <w:rPr>
          <w:rFonts w:ascii="Open Sans" w:hAnsi="Open Sans" w:cs="Open Sans"/>
          <w:sz w:val="20"/>
          <w:szCs w:val="20"/>
        </w:rPr>
      </w:pPr>
    </w:p>
    <w:p w:rsidR="00631F2A" w:rsidRPr="008C601A" w:rsidRDefault="00631F2A" w:rsidP="00FD7282">
      <w:pPr>
        <w:jc w:val="both"/>
        <w:rPr>
          <w:rFonts w:ascii="Open Sans" w:hAnsi="Open Sans" w:cs="Open Sans"/>
          <w:b/>
          <w:sz w:val="20"/>
          <w:szCs w:val="20"/>
        </w:rPr>
      </w:pPr>
      <w:r w:rsidRPr="008C601A">
        <w:rPr>
          <w:rFonts w:ascii="Open Sans" w:hAnsi="Open Sans" w:cs="Open Sans"/>
          <w:b/>
          <w:sz w:val="20"/>
          <w:szCs w:val="20"/>
        </w:rPr>
        <w:t xml:space="preserve">La Branche, </w:t>
      </w:r>
      <w:r w:rsidR="00326CB6" w:rsidRPr="008C601A">
        <w:rPr>
          <w:rFonts w:ascii="Open Sans" w:hAnsi="Open Sans" w:cs="Open Sans"/>
          <w:b/>
          <w:sz w:val="20"/>
          <w:szCs w:val="20"/>
        </w:rPr>
        <w:t xml:space="preserve">un </w:t>
      </w:r>
      <w:r w:rsidRPr="008C601A">
        <w:rPr>
          <w:rFonts w:ascii="Open Sans" w:hAnsi="Open Sans" w:cs="Open Sans"/>
          <w:b/>
          <w:sz w:val="20"/>
          <w:szCs w:val="20"/>
        </w:rPr>
        <w:t xml:space="preserve">niveau de </w:t>
      </w:r>
      <w:r w:rsidR="00326CB6" w:rsidRPr="008C601A">
        <w:rPr>
          <w:rFonts w:ascii="Open Sans" w:hAnsi="Open Sans" w:cs="Open Sans"/>
          <w:b/>
          <w:sz w:val="20"/>
          <w:szCs w:val="20"/>
        </w:rPr>
        <w:t>perception</w:t>
      </w:r>
      <w:r w:rsidRPr="008C601A">
        <w:rPr>
          <w:rFonts w:ascii="Open Sans" w:hAnsi="Open Sans" w:cs="Open Sans"/>
          <w:b/>
          <w:sz w:val="20"/>
          <w:szCs w:val="20"/>
        </w:rPr>
        <w:t xml:space="preserve"> des réalités d’entreprises</w:t>
      </w:r>
    </w:p>
    <w:p w:rsidR="00C87F0A" w:rsidRPr="008C601A" w:rsidRDefault="00B73508" w:rsidP="00FD7282">
      <w:pPr>
        <w:jc w:val="both"/>
        <w:rPr>
          <w:rFonts w:ascii="Open Sans" w:hAnsi="Open Sans" w:cs="Open Sans"/>
          <w:sz w:val="20"/>
          <w:szCs w:val="20"/>
        </w:rPr>
      </w:pPr>
      <w:r w:rsidRPr="008C601A">
        <w:rPr>
          <w:rFonts w:ascii="Open Sans" w:hAnsi="Open Sans" w:cs="Open Sans"/>
          <w:sz w:val="20"/>
          <w:szCs w:val="20"/>
        </w:rPr>
        <w:t xml:space="preserve">Ces chiffres connus, force est de constater qu’ils ne sont que la résultante, au niveau national, d’histoires et de pratiques d’entreprises, conscientes ou pas. Ces histoires et pratiques ne peuvent être </w:t>
      </w:r>
      <w:r w:rsidRPr="008C601A">
        <w:rPr>
          <w:rFonts w:ascii="Open Sans" w:hAnsi="Open Sans" w:cs="Open Sans"/>
          <w:sz w:val="20"/>
          <w:szCs w:val="20"/>
        </w:rPr>
        <w:lastRenderedPageBreak/>
        <w:t xml:space="preserve">interrogées par la seule volonté des organisations professionnelles et syndicales. Celles-ci </w:t>
      </w:r>
      <w:r w:rsidR="00326CB6" w:rsidRPr="008C601A">
        <w:rPr>
          <w:rFonts w:ascii="Open Sans" w:hAnsi="Open Sans" w:cs="Open Sans"/>
          <w:sz w:val="20"/>
          <w:szCs w:val="20"/>
        </w:rPr>
        <w:t xml:space="preserve">ont néanmoins le devoir d’interpeller chacun sur ces réalités, et </w:t>
      </w:r>
      <w:r w:rsidR="003315E4" w:rsidRPr="008C601A">
        <w:rPr>
          <w:rFonts w:ascii="Open Sans" w:hAnsi="Open Sans" w:cs="Open Sans"/>
          <w:sz w:val="20"/>
          <w:szCs w:val="20"/>
        </w:rPr>
        <w:t xml:space="preserve">sur </w:t>
      </w:r>
      <w:r w:rsidR="00326CB6" w:rsidRPr="008C601A">
        <w:rPr>
          <w:rFonts w:ascii="Open Sans" w:hAnsi="Open Sans" w:cs="Open Sans"/>
          <w:sz w:val="20"/>
          <w:szCs w:val="20"/>
        </w:rPr>
        <w:t>la volonté de faire de l’égalité professionnelle un des aspects incontournables de la réflexion dans l’entreprise.</w:t>
      </w:r>
    </w:p>
    <w:p w:rsidR="00B73508" w:rsidRPr="008C601A" w:rsidRDefault="00B73508" w:rsidP="00FD7282">
      <w:pPr>
        <w:jc w:val="both"/>
        <w:rPr>
          <w:rFonts w:ascii="Open Sans" w:hAnsi="Open Sans" w:cs="Open Sans"/>
          <w:sz w:val="20"/>
          <w:szCs w:val="20"/>
        </w:rPr>
      </w:pPr>
    </w:p>
    <w:p w:rsidR="00FD7282" w:rsidRPr="008C601A" w:rsidRDefault="00FD7282" w:rsidP="00FD7282">
      <w:pPr>
        <w:jc w:val="both"/>
        <w:rPr>
          <w:rFonts w:ascii="Open Sans" w:hAnsi="Open Sans" w:cs="Open Sans"/>
          <w:sz w:val="20"/>
          <w:szCs w:val="20"/>
        </w:rPr>
      </w:pPr>
      <w:r w:rsidRPr="008C601A">
        <w:rPr>
          <w:rFonts w:ascii="Open Sans" w:hAnsi="Open Sans" w:cs="Open Sans"/>
          <w:sz w:val="20"/>
          <w:szCs w:val="20"/>
        </w:rPr>
        <w:t xml:space="preserve">Notre secteur d’activité compte </w:t>
      </w:r>
      <w:r w:rsidR="00326CB6" w:rsidRPr="008C601A">
        <w:rPr>
          <w:rFonts w:ascii="Open Sans" w:hAnsi="Open Sans" w:cs="Open Sans"/>
          <w:sz w:val="20"/>
          <w:szCs w:val="20"/>
        </w:rPr>
        <w:t>plus</w:t>
      </w:r>
      <w:r w:rsidRPr="008C601A">
        <w:rPr>
          <w:rFonts w:ascii="Open Sans" w:hAnsi="Open Sans" w:cs="Open Sans"/>
          <w:sz w:val="20"/>
          <w:szCs w:val="20"/>
        </w:rPr>
        <w:t xml:space="preserve"> de 36000 salariés</w:t>
      </w:r>
      <w:r w:rsidR="003315E4" w:rsidRPr="008C601A">
        <w:rPr>
          <w:rFonts w:ascii="Open Sans" w:hAnsi="Open Sans" w:cs="Open Sans"/>
          <w:sz w:val="20"/>
          <w:szCs w:val="20"/>
        </w:rPr>
        <w:t>,</w:t>
      </w:r>
      <w:r w:rsidRPr="008C601A">
        <w:rPr>
          <w:rFonts w:ascii="Open Sans" w:hAnsi="Open Sans" w:cs="Open Sans"/>
          <w:sz w:val="20"/>
          <w:szCs w:val="20"/>
        </w:rPr>
        <w:t xml:space="preserve"> employés par 9500 entreprises, soit un effectif moyen inférieur à quatre salariés. 92% de ces salariés travaillent dans des entreprises au sein desquelles la négociation d’accords collectifs n’est pas permise, de par le Code du travail et ses limitations. Comment les dépasser, et, en l’absence d’obligation </w:t>
      </w:r>
      <w:r w:rsidR="003315E4" w:rsidRPr="008C601A">
        <w:rPr>
          <w:rFonts w:ascii="Open Sans" w:hAnsi="Open Sans" w:cs="Open Sans"/>
          <w:sz w:val="20"/>
          <w:szCs w:val="20"/>
        </w:rPr>
        <w:t>légale</w:t>
      </w:r>
      <w:r w:rsidRPr="008C601A">
        <w:rPr>
          <w:rFonts w:ascii="Open Sans" w:hAnsi="Open Sans" w:cs="Open Sans"/>
          <w:sz w:val="20"/>
          <w:szCs w:val="20"/>
        </w:rPr>
        <w:t>, inciter chaque entreprise à prendre en compte l’objectif d’égalité professionnelle ?</w:t>
      </w:r>
    </w:p>
    <w:p w:rsidR="00FD7282" w:rsidRPr="008C601A" w:rsidRDefault="00FD7282" w:rsidP="00FD7282">
      <w:pPr>
        <w:jc w:val="both"/>
        <w:rPr>
          <w:rFonts w:ascii="Open Sans" w:hAnsi="Open Sans" w:cs="Open Sans"/>
          <w:sz w:val="20"/>
          <w:szCs w:val="20"/>
        </w:rPr>
      </w:pPr>
    </w:p>
    <w:p w:rsidR="003315E4" w:rsidRPr="008C601A" w:rsidRDefault="003315E4" w:rsidP="00FD7282">
      <w:pPr>
        <w:jc w:val="both"/>
        <w:rPr>
          <w:rFonts w:ascii="Open Sans" w:hAnsi="Open Sans" w:cs="Open Sans"/>
          <w:b/>
          <w:sz w:val="20"/>
          <w:szCs w:val="20"/>
        </w:rPr>
      </w:pPr>
      <w:r w:rsidRPr="008C601A">
        <w:rPr>
          <w:rFonts w:ascii="Open Sans" w:hAnsi="Open Sans" w:cs="Open Sans"/>
          <w:b/>
          <w:sz w:val="20"/>
          <w:szCs w:val="20"/>
        </w:rPr>
        <w:t>Une impulsion nouvelle dans la gestion de l’entreprise</w:t>
      </w:r>
    </w:p>
    <w:p w:rsidR="008F42A6" w:rsidRPr="008C601A" w:rsidRDefault="00FD7282" w:rsidP="00FD7282">
      <w:pPr>
        <w:jc w:val="both"/>
        <w:rPr>
          <w:rFonts w:ascii="Open Sans" w:hAnsi="Open Sans" w:cs="Open Sans"/>
          <w:sz w:val="20"/>
          <w:szCs w:val="20"/>
        </w:rPr>
      </w:pPr>
      <w:r w:rsidRPr="008C601A">
        <w:rPr>
          <w:rFonts w:ascii="Open Sans" w:hAnsi="Open Sans" w:cs="Open Sans"/>
          <w:sz w:val="20"/>
          <w:szCs w:val="20"/>
        </w:rPr>
        <w:t xml:space="preserve">C’est justement le sens du « plan </w:t>
      </w:r>
      <w:r w:rsidR="008F42A6" w:rsidRPr="008C601A">
        <w:rPr>
          <w:rFonts w:ascii="Open Sans" w:hAnsi="Open Sans" w:cs="Open Sans"/>
          <w:sz w:val="20"/>
          <w:szCs w:val="20"/>
        </w:rPr>
        <w:t xml:space="preserve">d’action </w:t>
      </w:r>
      <w:r w:rsidRPr="008C601A">
        <w:rPr>
          <w:rFonts w:ascii="Open Sans" w:hAnsi="Open Sans" w:cs="Open Sans"/>
          <w:sz w:val="20"/>
          <w:szCs w:val="20"/>
        </w:rPr>
        <w:t>pour l’égalité professionnelle », annuel, par lequel les partenaires sociaux impulsent la prise en compte obligatoire de ces questions par tout employeur, dès lors qu’il dirige une entreprise employant femmes et hommes.</w:t>
      </w:r>
      <w:r w:rsidR="008F42A6" w:rsidRPr="008C601A">
        <w:rPr>
          <w:rFonts w:ascii="Open Sans" w:hAnsi="Open Sans" w:cs="Open Sans"/>
          <w:sz w:val="20"/>
          <w:szCs w:val="20"/>
        </w:rPr>
        <w:t xml:space="preserve"> </w:t>
      </w:r>
    </w:p>
    <w:p w:rsidR="00FD7282" w:rsidRPr="008C601A" w:rsidRDefault="008F42A6" w:rsidP="00FD7282">
      <w:pPr>
        <w:jc w:val="both"/>
        <w:rPr>
          <w:rFonts w:ascii="Open Sans" w:hAnsi="Open Sans" w:cs="Open Sans"/>
          <w:sz w:val="20"/>
          <w:szCs w:val="20"/>
        </w:rPr>
      </w:pPr>
      <w:r w:rsidRPr="008C601A">
        <w:rPr>
          <w:rFonts w:ascii="Open Sans" w:hAnsi="Open Sans" w:cs="Open Sans"/>
          <w:sz w:val="20"/>
          <w:szCs w:val="20"/>
        </w:rPr>
        <w:t xml:space="preserve">Le plan d’action, qu’il soit issu de la négociation </w:t>
      </w:r>
      <w:r w:rsidR="004C2E8E" w:rsidRPr="008C601A">
        <w:rPr>
          <w:rFonts w:ascii="Open Sans" w:hAnsi="Open Sans" w:cs="Open Sans"/>
          <w:sz w:val="20"/>
          <w:szCs w:val="20"/>
        </w:rPr>
        <w:t>dans l’</w:t>
      </w:r>
      <w:r w:rsidRPr="008C601A">
        <w:rPr>
          <w:rFonts w:ascii="Open Sans" w:hAnsi="Open Sans" w:cs="Open Sans"/>
          <w:sz w:val="20"/>
          <w:szCs w:val="20"/>
        </w:rPr>
        <w:t>entreprise, ou de l’initiative de l’employeur, détaillera annuellement les dispositions retenues pour atteindre cet objectif d’égalité</w:t>
      </w:r>
      <w:r w:rsidR="009963DC" w:rsidRPr="008C601A">
        <w:rPr>
          <w:rFonts w:ascii="Open Sans" w:hAnsi="Open Sans" w:cs="Open Sans"/>
          <w:sz w:val="20"/>
          <w:szCs w:val="20"/>
        </w:rPr>
        <w:t xml:space="preserve"> professionnelle</w:t>
      </w:r>
      <w:r w:rsidRPr="008C601A">
        <w:rPr>
          <w:rFonts w:ascii="Open Sans" w:hAnsi="Open Sans" w:cs="Open Sans"/>
          <w:sz w:val="20"/>
          <w:szCs w:val="20"/>
        </w:rPr>
        <w:t>, en matière de rémunération, de formation, et de gestion de l’emploi et des carrières.</w:t>
      </w:r>
    </w:p>
    <w:p w:rsidR="00FD7282" w:rsidRPr="008C601A" w:rsidRDefault="00FD7282" w:rsidP="00FD7282">
      <w:pPr>
        <w:jc w:val="both"/>
        <w:rPr>
          <w:rFonts w:ascii="Open Sans" w:hAnsi="Open Sans" w:cs="Open Sans"/>
          <w:sz w:val="20"/>
          <w:szCs w:val="20"/>
        </w:rPr>
      </w:pPr>
    </w:p>
    <w:p w:rsidR="00FD7282" w:rsidRPr="008C601A" w:rsidRDefault="00FD7282" w:rsidP="00FD7282">
      <w:pPr>
        <w:jc w:val="both"/>
        <w:rPr>
          <w:rFonts w:ascii="Open Sans" w:hAnsi="Open Sans" w:cs="Open Sans"/>
          <w:sz w:val="20"/>
          <w:szCs w:val="20"/>
        </w:rPr>
      </w:pPr>
      <w:r w:rsidRPr="008C601A">
        <w:rPr>
          <w:rFonts w:ascii="Open Sans" w:hAnsi="Open Sans" w:cs="Open Sans"/>
          <w:sz w:val="20"/>
          <w:szCs w:val="20"/>
        </w:rPr>
        <w:t>Ainsi les organisations signataires ont imaginé un cadre conventionnel, novateur et exigeant, adapté à un tissu de très petites entreprises qu’ils ont refusé de voir comme un frein à l’ambition collective d’égalité</w:t>
      </w:r>
      <w:r w:rsidR="008F42A6" w:rsidRPr="008C601A">
        <w:rPr>
          <w:rFonts w:ascii="Open Sans" w:hAnsi="Open Sans" w:cs="Open Sans"/>
          <w:sz w:val="20"/>
          <w:szCs w:val="20"/>
        </w:rPr>
        <w:t xml:space="preserve"> professionnelle entre les femmes et les hommes</w:t>
      </w:r>
      <w:r w:rsidRPr="008C601A">
        <w:rPr>
          <w:rFonts w:ascii="Open Sans" w:hAnsi="Open Sans" w:cs="Open Sans"/>
          <w:sz w:val="20"/>
          <w:szCs w:val="20"/>
        </w:rPr>
        <w:t>.</w:t>
      </w:r>
      <w:r w:rsidR="007E5021" w:rsidRPr="008C601A">
        <w:rPr>
          <w:rFonts w:ascii="Open Sans" w:hAnsi="Open Sans" w:cs="Open Sans"/>
          <w:sz w:val="20"/>
          <w:szCs w:val="20"/>
        </w:rPr>
        <w:t xml:space="preserve"> Des outils seront mis à disposition des entreprises pour faciliter la prise en compte de cette responsabilité :</w:t>
      </w:r>
      <w:r w:rsidR="008F42A6" w:rsidRPr="008C601A">
        <w:rPr>
          <w:rFonts w:ascii="Open Sans" w:hAnsi="Open Sans" w:cs="Open Sans"/>
          <w:sz w:val="20"/>
          <w:szCs w:val="20"/>
        </w:rPr>
        <w:t xml:space="preserve"> auto</w:t>
      </w:r>
      <w:r w:rsidR="007E5021" w:rsidRPr="008C601A">
        <w:rPr>
          <w:rFonts w:ascii="Open Sans" w:hAnsi="Open Sans" w:cs="Open Sans"/>
          <w:sz w:val="20"/>
          <w:szCs w:val="20"/>
        </w:rPr>
        <w:t>diagnostic, fiche d’entretien professionnel</w:t>
      </w:r>
      <w:r w:rsidR="008F42A6" w:rsidRPr="008C601A">
        <w:rPr>
          <w:rFonts w:ascii="Open Sans" w:hAnsi="Open Sans" w:cs="Open Sans"/>
          <w:sz w:val="20"/>
          <w:szCs w:val="20"/>
        </w:rPr>
        <w:t>, modèles d’accord et de plan d’action.</w:t>
      </w:r>
    </w:p>
    <w:p w:rsidR="00FD7282" w:rsidRPr="008C601A" w:rsidRDefault="00FD7282" w:rsidP="00FD7282">
      <w:pPr>
        <w:jc w:val="both"/>
        <w:rPr>
          <w:rFonts w:ascii="Open Sans" w:hAnsi="Open Sans" w:cs="Open Sans"/>
          <w:sz w:val="20"/>
          <w:szCs w:val="20"/>
        </w:rPr>
      </w:pPr>
    </w:p>
    <w:p w:rsidR="00FD7282" w:rsidRPr="008C601A" w:rsidRDefault="008F42A6" w:rsidP="00FD7282">
      <w:pPr>
        <w:jc w:val="both"/>
        <w:rPr>
          <w:rFonts w:ascii="Open Sans" w:hAnsi="Open Sans" w:cs="Open Sans"/>
          <w:sz w:val="20"/>
          <w:szCs w:val="20"/>
        </w:rPr>
      </w:pPr>
      <w:r w:rsidRPr="008C601A">
        <w:rPr>
          <w:rFonts w:ascii="Open Sans" w:hAnsi="Open Sans" w:cs="Open Sans"/>
          <w:sz w:val="20"/>
          <w:szCs w:val="20"/>
        </w:rPr>
        <w:t>L’</w:t>
      </w:r>
      <w:r w:rsidR="00FD7282" w:rsidRPr="008C601A">
        <w:rPr>
          <w:rFonts w:ascii="Open Sans" w:hAnsi="Open Sans" w:cs="Open Sans"/>
          <w:sz w:val="20"/>
          <w:szCs w:val="20"/>
        </w:rPr>
        <w:t>accord</w:t>
      </w:r>
      <w:r w:rsidR="007E5021" w:rsidRPr="008C601A">
        <w:rPr>
          <w:rFonts w:ascii="Open Sans" w:hAnsi="Open Sans" w:cs="Open Sans"/>
          <w:sz w:val="20"/>
          <w:szCs w:val="20"/>
        </w:rPr>
        <w:t xml:space="preserve"> du 27 mars 2014, signé par toutes les organisations de salariés (CFDT, CFTC, CFE-CGC, CGT, FO, et UNSA)</w:t>
      </w:r>
      <w:r w:rsidR="00FD7282" w:rsidRPr="008C601A">
        <w:rPr>
          <w:rFonts w:ascii="Open Sans" w:hAnsi="Open Sans" w:cs="Open Sans"/>
          <w:sz w:val="20"/>
          <w:szCs w:val="20"/>
        </w:rPr>
        <w:t xml:space="preserve"> </w:t>
      </w:r>
      <w:r w:rsidR="007E5021" w:rsidRPr="008C601A">
        <w:rPr>
          <w:rFonts w:ascii="Open Sans" w:hAnsi="Open Sans" w:cs="Open Sans"/>
          <w:sz w:val="20"/>
          <w:szCs w:val="20"/>
        </w:rPr>
        <w:t xml:space="preserve">ainsi que par le Syndicat de l’Architecture (représentant des employeurs) </w:t>
      </w:r>
      <w:r w:rsidR="00FD7282" w:rsidRPr="008C601A">
        <w:rPr>
          <w:rFonts w:ascii="Open Sans" w:hAnsi="Open Sans" w:cs="Open Sans"/>
          <w:sz w:val="20"/>
          <w:szCs w:val="20"/>
        </w:rPr>
        <w:t>est en phase d’examen par la Direction Générale du Travail d</w:t>
      </w:r>
      <w:r w:rsidR="007E5021" w:rsidRPr="008C601A">
        <w:rPr>
          <w:rFonts w:ascii="Open Sans" w:hAnsi="Open Sans" w:cs="Open Sans"/>
          <w:sz w:val="20"/>
          <w:szCs w:val="20"/>
        </w:rPr>
        <w:t>evant conduire à son extension, donc son application pour toutes les entreprises de la Branche.</w:t>
      </w:r>
    </w:p>
    <w:p w:rsidR="007E5021" w:rsidRPr="008C601A" w:rsidRDefault="007E5021" w:rsidP="00FD7282">
      <w:pPr>
        <w:jc w:val="both"/>
        <w:rPr>
          <w:rFonts w:ascii="Open Sans" w:hAnsi="Open Sans" w:cs="Open Sans"/>
          <w:sz w:val="20"/>
          <w:szCs w:val="20"/>
        </w:rPr>
      </w:pPr>
    </w:p>
    <w:p w:rsidR="00FD7282" w:rsidRPr="008C601A" w:rsidRDefault="007E5021" w:rsidP="008C601A">
      <w:pPr>
        <w:jc w:val="both"/>
        <w:rPr>
          <w:rFonts w:ascii="Open Sans" w:hAnsi="Open Sans" w:cs="Open Sans"/>
          <w:sz w:val="20"/>
          <w:szCs w:val="20"/>
        </w:rPr>
      </w:pPr>
      <w:r w:rsidRPr="008C601A">
        <w:rPr>
          <w:rFonts w:ascii="Open Sans" w:hAnsi="Open Sans" w:cs="Open Sans"/>
          <w:sz w:val="20"/>
          <w:szCs w:val="20"/>
        </w:rPr>
        <w:t>Le</w:t>
      </w:r>
      <w:r w:rsidR="0098434A">
        <w:rPr>
          <w:rFonts w:ascii="Open Sans" w:hAnsi="Open Sans" w:cs="Open Sans"/>
          <w:sz w:val="20"/>
          <w:szCs w:val="20"/>
        </w:rPr>
        <w:t>s</w:t>
      </w:r>
      <w:r w:rsidRPr="008C601A">
        <w:rPr>
          <w:rFonts w:ascii="Open Sans" w:hAnsi="Open Sans" w:cs="Open Sans"/>
          <w:sz w:val="20"/>
          <w:szCs w:val="20"/>
        </w:rPr>
        <w:t xml:space="preserve"> documents utiles aux entreprises pour sa mise en </w:t>
      </w:r>
      <w:r w:rsidR="003315E4" w:rsidRPr="008C601A">
        <w:rPr>
          <w:rFonts w:ascii="Open Sans" w:hAnsi="Open Sans" w:cs="Open Sans"/>
          <w:sz w:val="20"/>
          <w:szCs w:val="20"/>
        </w:rPr>
        <w:t>œuvre,</w:t>
      </w:r>
      <w:r w:rsidRPr="008C601A">
        <w:rPr>
          <w:rFonts w:ascii="Open Sans" w:hAnsi="Open Sans" w:cs="Open Sans"/>
          <w:sz w:val="20"/>
          <w:szCs w:val="20"/>
        </w:rPr>
        <w:t xml:space="preserve"> seront prochainemen</w:t>
      </w:r>
      <w:r w:rsidR="008F42A6" w:rsidRPr="008C601A">
        <w:rPr>
          <w:rFonts w:ascii="Open Sans" w:hAnsi="Open Sans" w:cs="Open Sans"/>
          <w:sz w:val="20"/>
          <w:szCs w:val="20"/>
        </w:rPr>
        <w:t>t disponible</w:t>
      </w:r>
      <w:r w:rsidR="003315E4" w:rsidRPr="008C601A">
        <w:rPr>
          <w:rFonts w:ascii="Open Sans" w:hAnsi="Open Sans" w:cs="Open Sans"/>
          <w:sz w:val="20"/>
          <w:szCs w:val="20"/>
        </w:rPr>
        <w:t>s</w:t>
      </w:r>
      <w:r w:rsidR="008F42A6" w:rsidRPr="008C601A">
        <w:rPr>
          <w:rFonts w:ascii="Open Sans" w:hAnsi="Open Sans" w:cs="Open Sans"/>
          <w:sz w:val="20"/>
          <w:szCs w:val="20"/>
        </w:rPr>
        <w:t xml:space="preserve"> sur le site de la B</w:t>
      </w:r>
      <w:r w:rsidRPr="008C601A">
        <w:rPr>
          <w:rFonts w:ascii="Open Sans" w:hAnsi="Open Sans" w:cs="Open Sans"/>
          <w:sz w:val="20"/>
          <w:szCs w:val="20"/>
        </w:rPr>
        <w:t>ranche</w:t>
      </w:r>
      <w:r w:rsidR="008F42A6" w:rsidRPr="008C601A">
        <w:rPr>
          <w:rFonts w:ascii="Open Sans" w:hAnsi="Open Sans" w:cs="Open Sans"/>
          <w:sz w:val="20"/>
          <w:szCs w:val="20"/>
        </w:rPr>
        <w:t>.</w:t>
      </w:r>
    </w:p>
    <w:sectPr w:rsidR="00FD7282" w:rsidRPr="008C601A" w:rsidSect="00CB577B">
      <w:headerReference w:type="default" r:id="rId8"/>
      <w:footerReference w:type="default" r:id="rId9"/>
      <w:pgSz w:w="11906" w:h="16838"/>
      <w:pgMar w:top="170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966" w:rsidRDefault="009A7966" w:rsidP="00391A8C">
      <w:r>
        <w:separator/>
      </w:r>
    </w:p>
  </w:endnote>
  <w:endnote w:type="continuationSeparator" w:id="0">
    <w:p w:rsidR="009A7966" w:rsidRDefault="009A7966" w:rsidP="00391A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3A" w:rsidRPr="008C601A" w:rsidRDefault="008C601A">
    <w:pPr>
      <w:pStyle w:val="Pieddepage"/>
      <w:rPr>
        <w:rFonts w:ascii="Open Sans" w:hAnsi="Open Sans" w:cs="Open Sans"/>
        <w:sz w:val="20"/>
        <w:szCs w:val="20"/>
      </w:rPr>
    </w:pPr>
    <w:r w:rsidRPr="008C601A">
      <w:rPr>
        <w:rFonts w:ascii="Open Sans" w:hAnsi="Open Sans" w:cs="Open Sans"/>
        <w:sz w:val="20"/>
        <w:szCs w:val="20"/>
      </w:rPr>
      <w:t xml:space="preserve">Communiqué de Branche Architecture </w:t>
    </w:r>
    <w:r w:rsidR="00A643CD" w:rsidRPr="008C601A">
      <w:rPr>
        <w:rFonts w:ascii="Open Sans" w:hAnsi="Open Sans" w:cs="Open Sans"/>
        <w:sz w:val="20"/>
        <w:szCs w:val="20"/>
      </w:rPr>
      <w:t xml:space="preserve">- </w:t>
    </w:r>
    <w:r w:rsidR="000A280B" w:rsidRPr="008C601A">
      <w:rPr>
        <w:rFonts w:ascii="Open Sans" w:hAnsi="Open Sans" w:cs="Open Sans"/>
        <w:sz w:val="20"/>
        <w:szCs w:val="20"/>
      </w:rPr>
      <w:t>juin</w:t>
    </w:r>
    <w:r w:rsidR="005F0D3A" w:rsidRPr="008C601A">
      <w:rPr>
        <w:rFonts w:ascii="Open Sans" w:hAnsi="Open Sans" w:cs="Open Sans"/>
        <w:sz w:val="20"/>
        <w:szCs w:val="20"/>
      </w:rPr>
      <w:t xml:space="preserv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966" w:rsidRDefault="009A7966" w:rsidP="00391A8C">
      <w:r>
        <w:separator/>
      </w:r>
    </w:p>
  </w:footnote>
  <w:footnote w:type="continuationSeparator" w:id="0">
    <w:p w:rsidR="009A7966" w:rsidRDefault="009A7966" w:rsidP="00391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3A" w:rsidRDefault="008C601A">
    <w:pPr>
      <w:pStyle w:val="En-tte"/>
    </w:pPr>
    <w:r>
      <w:rPr>
        <w:noProof/>
      </w:rPr>
      <w:drawing>
        <wp:inline distT="0" distB="0" distL="0" distR="0">
          <wp:extent cx="1949450" cy="693420"/>
          <wp:effectExtent l="19050" t="0" r="0" b="0"/>
          <wp:docPr id="1" name="Image 1" descr="ARCHI Logo-Quad-RV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 Logo-Quad-RVB (2)"/>
                  <pic:cNvPicPr>
                    <a:picLocks noChangeAspect="1" noChangeArrowheads="1"/>
                  </pic:cNvPicPr>
                </pic:nvPicPr>
                <pic:blipFill>
                  <a:blip r:embed="rId1"/>
                  <a:srcRect/>
                  <a:stretch>
                    <a:fillRect/>
                  </a:stretch>
                </pic:blipFill>
                <pic:spPr bwMode="auto">
                  <a:xfrm>
                    <a:off x="0" y="0"/>
                    <a:ext cx="1949450" cy="693420"/>
                  </a:xfrm>
                  <a:prstGeom prst="rect">
                    <a:avLst/>
                  </a:prstGeom>
                  <a:noFill/>
                  <a:ln w="9525">
                    <a:noFill/>
                    <a:miter lim="800000"/>
                    <a:headEnd/>
                    <a:tailEnd/>
                  </a:ln>
                </pic:spPr>
              </pic:pic>
            </a:graphicData>
          </a:graphic>
        </wp:inline>
      </w:drawing>
    </w:r>
  </w:p>
  <w:p w:rsidR="005F0D3A" w:rsidRDefault="005F0D3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0495"/>
    <w:multiLevelType w:val="hybridMultilevel"/>
    <w:tmpl w:val="8610A472"/>
    <w:lvl w:ilvl="0" w:tplc="28022F9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BD0FF8"/>
    <w:multiLevelType w:val="hybridMultilevel"/>
    <w:tmpl w:val="A6BAD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004E94"/>
    <w:multiLevelType w:val="hybridMultilevel"/>
    <w:tmpl w:val="5C80F894"/>
    <w:lvl w:ilvl="0" w:tplc="7164AD6A">
      <w:numFmt w:val="bullet"/>
      <w:lvlText w:val="-"/>
      <w:lvlJc w:val="left"/>
      <w:pPr>
        <w:ind w:left="720" w:hanging="360"/>
      </w:pPr>
      <w:rPr>
        <w:rFonts w:ascii="Calibri" w:eastAsia="Calibri" w:hAnsi="Calibri"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391A8C"/>
    <w:rsid w:val="000006B8"/>
    <w:rsid w:val="000501D8"/>
    <w:rsid w:val="000513FE"/>
    <w:rsid w:val="00060BC6"/>
    <w:rsid w:val="00061188"/>
    <w:rsid w:val="00062BE7"/>
    <w:rsid w:val="0006429F"/>
    <w:rsid w:val="00073B03"/>
    <w:rsid w:val="000741BD"/>
    <w:rsid w:val="000A280B"/>
    <w:rsid w:val="000A3C6D"/>
    <w:rsid w:val="000B65A4"/>
    <w:rsid w:val="000C7AFC"/>
    <w:rsid w:val="000D2F8B"/>
    <w:rsid w:val="000E59A1"/>
    <w:rsid w:val="00107BD6"/>
    <w:rsid w:val="0011150B"/>
    <w:rsid w:val="00112631"/>
    <w:rsid w:val="00120184"/>
    <w:rsid w:val="0012446B"/>
    <w:rsid w:val="001267B4"/>
    <w:rsid w:val="00146D33"/>
    <w:rsid w:val="00165F11"/>
    <w:rsid w:val="001808E5"/>
    <w:rsid w:val="00185A05"/>
    <w:rsid w:val="00197225"/>
    <w:rsid w:val="001A0231"/>
    <w:rsid w:val="00205B0F"/>
    <w:rsid w:val="00217CBA"/>
    <w:rsid w:val="00290E77"/>
    <w:rsid w:val="002939A0"/>
    <w:rsid w:val="002A7BA4"/>
    <w:rsid w:val="002B3117"/>
    <w:rsid w:val="002C4ED4"/>
    <w:rsid w:val="002E0F38"/>
    <w:rsid w:val="002E6190"/>
    <w:rsid w:val="002F4E26"/>
    <w:rsid w:val="0030092E"/>
    <w:rsid w:val="00307627"/>
    <w:rsid w:val="003205D2"/>
    <w:rsid w:val="00326CB6"/>
    <w:rsid w:val="003315E4"/>
    <w:rsid w:val="00347194"/>
    <w:rsid w:val="00391A8C"/>
    <w:rsid w:val="003A4E63"/>
    <w:rsid w:val="003C179D"/>
    <w:rsid w:val="003C51FD"/>
    <w:rsid w:val="003E1640"/>
    <w:rsid w:val="003E63D6"/>
    <w:rsid w:val="003F12C7"/>
    <w:rsid w:val="003F13F5"/>
    <w:rsid w:val="004012FB"/>
    <w:rsid w:val="00412EC3"/>
    <w:rsid w:val="00423FB4"/>
    <w:rsid w:val="00452204"/>
    <w:rsid w:val="0045779A"/>
    <w:rsid w:val="00461985"/>
    <w:rsid w:val="00464926"/>
    <w:rsid w:val="00466648"/>
    <w:rsid w:val="00480EDD"/>
    <w:rsid w:val="004A4F4B"/>
    <w:rsid w:val="004B6D8D"/>
    <w:rsid w:val="004C2E8E"/>
    <w:rsid w:val="0050014A"/>
    <w:rsid w:val="00502063"/>
    <w:rsid w:val="00506CC4"/>
    <w:rsid w:val="005071FC"/>
    <w:rsid w:val="00511644"/>
    <w:rsid w:val="00530028"/>
    <w:rsid w:val="005731A5"/>
    <w:rsid w:val="005827E8"/>
    <w:rsid w:val="005A59F4"/>
    <w:rsid w:val="005E5548"/>
    <w:rsid w:val="005F0D3A"/>
    <w:rsid w:val="00605453"/>
    <w:rsid w:val="00611DC9"/>
    <w:rsid w:val="006155A5"/>
    <w:rsid w:val="00616B24"/>
    <w:rsid w:val="00617083"/>
    <w:rsid w:val="0062404D"/>
    <w:rsid w:val="00631F2A"/>
    <w:rsid w:val="00646070"/>
    <w:rsid w:val="0065772D"/>
    <w:rsid w:val="00664AF0"/>
    <w:rsid w:val="00667DE4"/>
    <w:rsid w:val="00682D97"/>
    <w:rsid w:val="00687153"/>
    <w:rsid w:val="006A7E17"/>
    <w:rsid w:val="006B3566"/>
    <w:rsid w:val="006B7329"/>
    <w:rsid w:val="00701248"/>
    <w:rsid w:val="00703147"/>
    <w:rsid w:val="00706FAA"/>
    <w:rsid w:val="00713E10"/>
    <w:rsid w:val="007151C3"/>
    <w:rsid w:val="007420D4"/>
    <w:rsid w:val="00753495"/>
    <w:rsid w:val="0075734B"/>
    <w:rsid w:val="00780CBD"/>
    <w:rsid w:val="007900FE"/>
    <w:rsid w:val="00790F57"/>
    <w:rsid w:val="007E5021"/>
    <w:rsid w:val="008310C4"/>
    <w:rsid w:val="00851995"/>
    <w:rsid w:val="00852740"/>
    <w:rsid w:val="008528A8"/>
    <w:rsid w:val="008768DC"/>
    <w:rsid w:val="00881279"/>
    <w:rsid w:val="0088664E"/>
    <w:rsid w:val="0089421F"/>
    <w:rsid w:val="008A2B79"/>
    <w:rsid w:val="008C2872"/>
    <w:rsid w:val="008C601A"/>
    <w:rsid w:val="008F1830"/>
    <w:rsid w:val="008F42A6"/>
    <w:rsid w:val="009232FB"/>
    <w:rsid w:val="009364AE"/>
    <w:rsid w:val="00942515"/>
    <w:rsid w:val="00956084"/>
    <w:rsid w:val="009576F5"/>
    <w:rsid w:val="0098434A"/>
    <w:rsid w:val="0098671A"/>
    <w:rsid w:val="009963DC"/>
    <w:rsid w:val="009A7966"/>
    <w:rsid w:val="009B0D8B"/>
    <w:rsid w:val="00A0655B"/>
    <w:rsid w:val="00A13A4C"/>
    <w:rsid w:val="00A3217B"/>
    <w:rsid w:val="00A635F4"/>
    <w:rsid w:val="00A643CD"/>
    <w:rsid w:val="00A64AEB"/>
    <w:rsid w:val="00A67346"/>
    <w:rsid w:val="00A74D8E"/>
    <w:rsid w:val="00A8381C"/>
    <w:rsid w:val="00A96FE3"/>
    <w:rsid w:val="00AE0D0C"/>
    <w:rsid w:val="00AF4807"/>
    <w:rsid w:val="00B015B9"/>
    <w:rsid w:val="00B043B4"/>
    <w:rsid w:val="00B11BBA"/>
    <w:rsid w:val="00B14C5C"/>
    <w:rsid w:val="00B4755D"/>
    <w:rsid w:val="00B5626F"/>
    <w:rsid w:val="00B73508"/>
    <w:rsid w:val="00B91CB0"/>
    <w:rsid w:val="00B92DF7"/>
    <w:rsid w:val="00BC30D4"/>
    <w:rsid w:val="00BE50FF"/>
    <w:rsid w:val="00BF0967"/>
    <w:rsid w:val="00BF4D2D"/>
    <w:rsid w:val="00C079D1"/>
    <w:rsid w:val="00C11FA0"/>
    <w:rsid w:val="00C13B62"/>
    <w:rsid w:val="00C3111A"/>
    <w:rsid w:val="00C551E1"/>
    <w:rsid w:val="00C87F0A"/>
    <w:rsid w:val="00CB0F97"/>
    <w:rsid w:val="00CB577B"/>
    <w:rsid w:val="00CB5D60"/>
    <w:rsid w:val="00CD2F26"/>
    <w:rsid w:val="00CD63A1"/>
    <w:rsid w:val="00D60FD7"/>
    <w:rsid w:val="00D62F9C"/>
    <w:rsid w:val="00D857C1"/>
    <w:rsid w:val="00DB357D"/>
    <w:rsid w:val="00DB35C9"/>
    <w:rsid w:val="00DE42AD"/>
    <w:rsid w:val="00DE5621"/>
    <w:rsid w:val="00DE65DE"/>
    <w:rsid w:val="00DF1290"/>
    <w:rsid w:val="00E01D2C"/>
    <w:rsid w:val="00E56CF2"/>
    <w:rsid w:val="00E64C93"/>
    <w:rsid w:val="00E67E24"/>
    <w:rsid w:val="00E72661"/>
    <w:rsid w:val="00E76C66"/>
    <w:rsid w:val="00E838AD"/>
    <w:rsid w:val="00E84BEC"/>
    <w:rsid w:val="00EB0672"/>
    <w:rsid w:val="00EB46E4"/>
    <w:rsid w:val="00EC2F0D"/>
    <w:rsid w:val="00ED5DF8"/>
    <w:rsid w:val="00EF49AE"/>
    <w:rsid w:val="00F22A35"/>
    <w:rsid w:val="00F62925"/>
    <w:rsid w:val="00F914ED"/>
    <w:rsid w:val="00FD7282"/>
    <w:rsid w:val="00FE0847"/>
    <w:rsid w:val="00FF3479"/>
    <w:rsid w:val="00FF6258"/>
    <w:rsid w:val="00FF6F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8C"/>
    <w:rPr>
      <w:rFonts w:ascii="Times New Roman" w:hAnsi="Times New Roman"/>
      <w:sz w:val="24"/>
      <w:szCs w:val="24"/>
    </w:rPr>
  </w:style>
  <w:style w:type="paragraph" w:styleId="Titre3">
    <w:name w:val="heading 3"/>
    <w:basedOn w:val="Normal"/>
    <w:next w:val="Normal"/>
    <w:link w:val="Titre3Car"/>
    <w:uiPriority w:val="9"/>
    <w:semiHidden/>
    <w:unhideWhenUsed/>
    <w:qFormat/>
    <w:rsid w:val="006A7E17"/>
    <w:pPr>
      <w:keepNext/>
      <w:spacing w:before="240" w:after="60"/>
      <w:outlineLvl w:val="2"/>
    </w:pPr>
    <w:rPr>
      <w:rFonts w:ascii="Cambria" w:eastAsia="Times New Roman" w:hAnsi="Cambria"/>
      <w:b/>
      <w:bCs/>
      <w:sz w:val="26"/>
      <w:szCs w:val="26"/>
    </w:rPr>
  </w:style>
  <w:style w:type="paragraph" w:styleId="Titre5">
    <w:name w:val="heading 5"/>
    <w:aliases w:val="tr tabl"/>
    <w:basedOn w:val="Normal"/>
    <w:next w:val="Normal"/>
    <w:link w:val="Titre5Car"/>
    <w:autoRedefine/>
    <w:qFormat/>
    <w:rsid w:val="006A7E17"/>
    <w:pPr>
      <w:spacing w:before="240" w:after="120"/>
      <w:outlineLvl w:val="4"/>
    </w:pPr>
    <w:rPr>
      <w:rFonts w:ascii="Cambria" w:eastAsia="Times New Roman" w:hAnsi="Cambria" w:cs="Arial"/>
      <w:b/>
      <w:bCs/>
      <w:i/>
      <w:kern w:val="28"/>
      <w:sz w:val="23"/>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91A8C"/>
    <w:pPr>
      <w:tabs>
        <w:tab w:val="center" w:pos="4536"/>
        <w:tab w:val="right" w:pos="9072"/>
      </w:tabs>
    </w:pPr>
  </w:style>
  <w:style w:type="character" w:customStyle="1" w:styleId="En-tteCar">
    <w:name w:val="En-tête Car"/>
    <w:basedOn w:val="Policepardfaut"/>
    <w:link w:val="En-tte"/>
    <w:uiPriority w:val="99"/>
    <w:semiHidden/>
    <w:rsid w:val="00391A8C"/>
    <w:rPr>
      <w:rFonts w:ascii="Times New Roman" w:hAnsi="Times New Roman" w:cs="Times New Roman"/>
      <w:sz w:val="24"/>
      <w:szCs w:val="24"/>
      <w:lang w:eastAsia="fr-FR"/>
    </w:rPr>
  </w:style>
  <w:style w:type="paragraph" w:styleId="Pieddepage">
    <w:name w:val="footer"/>
    <w:basedOn w:val="Normal"/>
    <w:link w:val="PieddepageCar"/>
    <w:uiPriority w:val="99"/>
    <w:semiHidden/>
    <w:unhideWhenUsed/>
    <w:rsid w:val="00391A8C"/>
    <w:pPr>
      <w:tabs>
        <w:tab w:val="center" w:pos="4536"/>
        <w:tab w:val="right" w:pos="9072"/>
      </w:tabs>
    </w:pPr>
  </w:style>
  <w:style w:type="character" w:customStyle="1" w:styleId="PieddepageCar">
    <w:name w:val="Pied de page Car"/>
    <w:basedOn w:val="Policepardfaut"/>
    <w:link w:val="Pieddepage"/>
    <w:uiPriority w:val="99"/>
    <w:semiHidden/>
    <w:rsid w:val="00391A8C"/>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F13F5"/>
    <w:rPr>
      <w:rFonts w:ascii="Tahoma" w:hAnsi="Tahoma" w:cs="Tahoma"/>
      <w:sz w:val="16"/>
      <w:szCs w:val="16"/>
    </w:rPr>
  </w:style>
  <w:style w:type="character" w:customStyle="1" w:styleId="TextedebullesCar">
    <w:name w:val="Texte de bulles Car"/>
    <w:basedOn w:val="Policepardfaut"/>
    <w:link w:val="Textedebulles"/>
    <w:uiPriority w:val="99"/>
    <w:semiHidden/>
    <w:rsid w:val="003F13F5"/>
    <w:rPr>
      <w:rFonts w:ascii="Tahoma" w:hAnsi="Tahoma" w:cs="Tahoma"/>
      <w:sz w:val="16"/>
      <w:szCs w:val="16"/>
    </w:rPr>
  </w:style>
  <w:style w:type="paragraph" w:styleId="NormalWeb">
    <w:name w:val="Normal (Web)"/>
    <w:basedOn w:val="Normal"/>
    <w:uiPriority w:val="99"/>
    <w:semiHidden/>
    <w:unhideWhenUsed/>
    <w:rsid w:val="00646070"/>
    <w:pPr>
      <w:spacing w:before="100" w:beforeAutospacing="1" w:after="100" w:afterAutospacing="1"/>
    </w:pPr>
    <w:rPr>
      <w:rFonts w:eastAsia="Times New Roman"/>
    </w:rPr>
  </w:style>
  <w:style w:type="character" w:styleId="Lienhypertexte">
    <w:name w:val="Hyperlink"/>
    <w:basedOn w:val="Policepardfaut"/>
    <w:uiPriority w:val="99"/>
    <w:unhideWhenUsed/>
    <w:rsid w:val="00307627"/>
    <w:rPr>
      <w:color w:val="0000FF"/>
      <w:u w:val="single"/>
    </w:rPr>
  </w:style>
  <w:style w:type="paragraph" w:customStyle="1" w:styleId="pl">
    <w:name w:val="pl"/>
    <w:aliases w:val="Normal lié"/>
    <w:basedOn w:val="Normal"/>
    <w:rsid w:val="00060BC6"/>
    <w:pPr>
      <w:keepNext/>
      <w:keepLines/>
      <w:overflowPunct w:val="0"/>
      <w:autoSpaceDE w:val="0"/>
      <w:autoSpaceDN w:val="0"/>
      <w:adjustRightInd w:val="0"/>
      <w:spacing w:before="240"/>
      <w:jc w:val="both"/>
      <w:textAlignment w:val="baseline"/>
    </w:pPr>
    <w:rPr>
      <w:rFonts w:ascii="Times" w:eastAsia="Times New Roman" w:hAnsi="Times"/>
      <w:szCs w:val="20"/>
    </w:rPr>
  </w:style>
  <w:style w:type="character" w:styleId="Marquedecommentaire">
    <w:name w:val="annotation reference"/>
    <w:basedOn w:val="Policepardfaut"/>
    <w:uiPriority w:val="99"/>
    <w:semiHidden/>
    <w:unhideWhenUsed/>
    <w:rsid w:val="000E59A1"/>
    <w:rPr>
      <w:sz w:val="16"/>
      <w:szCs w:val="16"/>
    </w:rPr>
  </w:style>
  <w:style w:type="paragraph" w:styleId="Commentaire">
    <w:name w:val="annotation text"/>
    <w:basedOn w:val="Normal"/>
    <w:link w:val="CommentaireCar"/>
    <w:uiPriority w:val="99"/>
    <w:semiHidden/>
    <w:unhideWhenUsed/>
    <w:rsid w:val="000E59A1"/>
    <w:rPr>
      <w:sz w:val="20"/>
      <w:szCs w:val="20"/>
    </w:rPr>
  </w:style>
  <w:style w:type="character" w:customStyle="1" w:styleId="CommentaireCar">
    <w:name w:val="Commentaire Car"/>
    <w:basedOn w:val="Policepardfaut"/>
    <w:link w:val="Commentaire"/>
    <w:uiPriority w:val="99"/>
    <w:semiHidden/>
    <w:rsid w:val="000E59A1"/>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0E59A1"/>
    <w:rPr>
      <w:b/>
      <w:bCs/>
    </w:rPr>
  </w:style>
  <w:style w:type="character" w:customStyle="1" w:styleId="ObjetducommentaireCar">
    <w:name w:val="Objet du commentaire Car"/>
    <w:basedOn w:val="CommentaireCar"/>
    <w:link w:val="Objetducommentaire"/>
    <w:uiPriority w:val="99"/>
    <w:semiHidden/>
    <w:rsid w:val="000E59A1"/>
    <w:rPr>
      <w:b/>
      <w:bCs/>
    </w:rPr>
  </w:style>
  <w:style w:type="character" w:customStyle="1" w:styleId="Titre5Car">
    <w:name w:val="Titre 5 Car"/>
    <w:aliases w:val="tr tabl Car"/>
    <w:basedOn w:val="Policepardfaut"/>
    <w:link w:val="Titre5"/>
    <w:rsid w:val="006A7E17"/>
    <w:rPr>
      <w:rFonts w:ascii="Cambria" w:eastAsia="Times New Roman" w:hAnsi="Cambria" w:cs="Arial"/>
      <w:b/>
      <w:bCs/>
      <w:i/>
      <w:kern w:val="28"/>
      <w:sz w:val="23"/>
      <w:szCs w:val="22"/>
      <w:lang w:eastAsia="en-US"/>
    </w:rPr>
  </w:style>
  <w:style w:type="table" w:customStyle="1" w:styleId="Ombrageclair1">
    <w:name w:val="Ombrage clair1"/>
    <w:basedOn w:val="TableauNormal"/>
    <w:uiPriority w:val="60"/>
    <w:rsid w:val="006A7E17"/>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itre3Car">
    <w:name w:val="Titre 3 Car"/>
    <w:basedOn w:val="Policepardfaut"/>
    <w:link w:val="Titre3"/>
    <w:uiPriority w:val="9"/>
    <w:semiHidden/>
    <w:rsid w:val="006A7E17"/>
    <w:rPr>
      <w:rFonts w:ascii="Cambria" w:eastAsia="Times New Roman" w:hAnsi="Cambria" w:cs="Times New Roman"/>
      <w:b/>
      <w:bCs/>
      <w:sz w:val="26"/>
      <w:szCs w:val="26"/>
    </w:rPr>
  </w:style>
  <w:style w:type="character" w:styleId="Appelnotedebasdep">
    <w:name w:val="footnote reference"/>
    <w:basedOn w:val="Policepardfaut"/>
    <w:uiPriority w:val="99"/>
    <w:semiHidden/>
    <w:unhideWhenUsed/>
    <w:rsid w:val="002F4E26"/>
    <w:rPr>
      <w:vertAlign w:val="superscript"/>
    </w:rPr>
  </w:style>
  <w:style w:type="paragraph" w:styleId="Notedebasdepage">
    <w:name w:val="footnote text"/>
    <w:basedOn w:val="Normal"/>
    <w:link w:val="NotedebasdepageCar"/>
    <w:uiPriority w:val="99"/>
    <w:unhideWhenUsed/>
    <w:rsid w:val="002F4E26"/>
    <w:pPr>
      <w:ind w:left="227" w:hanging="227"/>
    </w:pPr>
    <w:rPr>
      <w:rFonts w:ascii="Calibri" w:eastAsia="Times New Roman" w:hAnsi="Calibri"/>
      <w:noProof/>
      <w:color w:val="000000"/>
      <w:sz w:val="18"/>
      <w:szCs w:val="20"/>
    </w:rPr>
  </w:style>
  <w:style w:type="character" w:customStyle="1" w:styleId="NotedebasdepageCar">
    <w:name w:val="Note de bas de page Car"/>
    <w:basedOn w:val="Policepardfaut"/>
    <w:link w:val="Notedebasdepage"/>
    <w:uiPriority w:val="99"/>
    <w:rsid w:val="002F4E26"/>
    <w:rPr>
      <w:rFonts w:ascii="Calibri" w:eastAsia="Times New Roman" w:hAnsi="Calibri"/>
      <w:noProof/>
      <w:color w:val="000000"/>
      <w:sz w:val="18"/>
    </w:rPr>
  </w:style>
</w:styles>
</file>

<file path=word/webSettings.xml><?xml version="1.0" encoding="utf-8"?>
<w:webSettings xmlns:r="http://schemas.openxmlformats.org/officeDocument/2006/relationships" xmlns:w="http://schemas.openxmlformats.org/wordprocessingml/2006/main">
  <w:divs>
    <w:div w:id="410003466">
      <w:bodyDiv w:val="1"/>
      <w:marLeft w:val="0"/>
      <w:marRight w:val="0"/>
      <w:marTop w:val="0"/>
      <w:marBottom w:val="0"/>
      <w:divBdr>
        <w:top w:val="none" w:sz="0" w:space="0" w:color="auto"/>
        <w:left w:val="none" w:sz="0" w:space="0" w:color="auto"/>
        <w:bottom w:val="none" w:sz="0" w:space="0" w:color="auto"/>
        <w:right w:val="none" w:sz="0" w:space="0" w:color="auto"/>
      </w:divBdr>
      <w:divsChild>
        <w:div w:id="94477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2695">
      <w:bodyDiv w:val="1"/>
      <w:marLeft w:val="0"/>
      <w:marRight w:val="0"/>
      <w:marTop w:val="0"/>
      <w:marBottom w:val="0"/>
      <w:divBdr>
        <w:top w:val="none" w:sz="0" w:space="0" w:color="auto"/>
        <w:left w:val="none" w:sz="0" w:space="0" w:color="auto"/>
        <w:bottom w:val="none" w:sz="0" w:space="0" w:color="auto"/>
        <w:right w:val="none" w:sz="0" w:space="0" w:color="auto"/>
      </w:divBdr>
      <w:divsChild>
        <w:div w:id="1267301763">
          <w:marLeft w:val="0"/>
          <w:marRight w:val="0"/>
          <w:marTop w:val="0"/>
          <w:marBottom w:val="0"/>
          <w:divBdr>
            <w:top w:val="none" w:sz="0" w:space="0" w:color="auto"/>
            <w:left w:val="none" w:sz="0" w:space="0" w:color="auto"/>
            <w:bottom w:val="none" w:sz="0" w:space="0" w:color="auto"/>
            <w:right w:val="none" w:sz="0" w:space="0" w:color="auto"/>
          </w:divBdr>
        </w:div>
      </w:divsChild>
    </w:div>
    <w:div w:id="1204247674">
      <w:bodyDiv w:val="1"/>
      <w:marLeft w:val="0"/>
      <w:marRight w:val="0"/>
      <w:marTop w:val="0"/>
      <w:marBottom w:val="0"/>
      <w:divBdr>
        <w:top w:val="none" w:sz="0" w:space="0" w:color="auto"/>
        <w:left w:val="none" w:sz="0" w:space="0" w:color="auto"/>
        <w:bottom w:val="none" w:sz="0" w:space="0" w:color="auto"/>
        <w:right w:val="none" w:sz="0" w:space="0" w:color="auto"/>
      </w:divBdr>
    </w:div>
    <w:div w:id="1890069409">
      <w:bodyDiv w:val="1"/>
      <w:marLeft w:val="0"/>
      <w:marRight w:val="0"/>
      <w:marTop w:val="0"/>
      <w:marBottom w:val="0"/>
      <w:divBdr>
        <w:top w:val="none" w:sz="0" w:space="0" w:color="auto"/>
        <w:left w:val="none" w:sz="0" w:space="0" w:color="auto"/>
        <w:bottom w:val="none" w:sz="0" w:space="0" w:color="auto"/>
        <w:right w:val="none" w:sz="0" w:space="0" w:color="auto"/>
      </w:divBdr>
    </w:div>
    <w:div w:id="18949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nche-architectu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4522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Complémentaire santé, un régime en forme </vt:lpstr>
    </vt:vector>
  </TitlesOfParts>
  <Company/>
  <LinksUpToDate>false</LinksUpToDate>
  <CharactersWithSpaces>5334</CharactersWithSpaces>
  <SharedDoc>false</SharedDoc>
  <HLinks>
    <vt:vector size="12" baseType="variant">
      <vt:variant>
        <vt:i4>852068</vt:i4>
      </vt:variant>
      <vt:variant>
        <vt:i4>3</vt:i4>
      </vt:variant>
      <vt:variant>
        <vt:i4>0</vt:i4>
      </vt:variant>
      <vt:variant>
        <vt:i4>5</vt:i4>
      </vt:variant>
      <vt:variant>
        <vt:lpwstr>mailto:apgp.architecture@apgp.fr</vt:lpwstr>
      </vt:variant>
      <vt:variant>
        <vt:lpwstr/>
      </vt:variant>
      <vt:variant>
        <vt:i4>7995506</vt:i4>
      </vt:variant>
      <vt:variant>
        <vt:i4>0</vt:i4>
      </vt:variant>
      <vt:variant>
        <vt:i4>0</vt:i4>
      </vt:variant>
      <vt:variant>
        <vt:i4>5</vt:i4>
      </vt:variant>
      <vt:variant>
        <vt:lpwstr>http://www.branche-architecture.fr/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Complémentaire santé, un régime en forme </dc:title>
  <dc:subject/>
  <dc:creator>Pierre POUILLEY</dc:creator>
  <cp:keywords/>
  <cp:lastModifiedBy>Pierre POUILLEY</cp:lastModifiedBy>
  <cp:revision>3</cp:revision>
  <cp:lastPrinted>2013-03-04T08:54:00Z</cp:lastPrinted>
  <dcterms:created xsi:type="dcterms:W3CDTF">2014-09-16T09:37:00Z</dcterms:created>
  <dcterms:modified xsi:type="dcterms:W3CDTF">2014-09-23T16:16:00Z</dcterms:modified>
  <cp:contentStatus/>
</cp:coreProperties>
</file>